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87R6532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contracts for Internet  application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2054.113(c),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Before a state agency may contract with a third party for Internet application development that duplicates a state electronic Internet portal function, </w:t>
      </w:r>
      <w:r>
        <w:rPr>
          <w:u w:val="single"/>
        </w:rPr>
        <w:t xml:space="preserve">including a function of a native mobile application,</w:t>
      </w:r>
      <w:r>
        <w:t xml:space="preserve"> the state agency must notify the department of its intent to bid for such services at the same time that others have the opportunity to bid. The department may exempt a state agency from this section if it determines the agency has fully complied with Section 2054.111.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entered into on or after the effective date of this Act. A contract entered into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