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1277</w:t>
      </w:r>
    </w:p>
    <w:p w:rsidR="003F3435" w:rsidRDefault="0032493E">
      <w:pPr>
        <w:ind w:firstLine="720"/>
        <w:jc w:val="both"/>
      </w:pPr>
      <w:r>
        <w:t xml:space="preserve">(Turner of Dallas)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as amended by Chapters 264 (S.B. 1276) and 901 (H.B. 3650), Acts of the 86th Legislature, Regular Session, 2019, is reenacted and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common advising strategies and terminology related to dual credit and college readiness;</w:t>
      </w:r>
    </w:p>
    <w:p w:rsidR="003F3435" w:rsidRDefault="0032493E">
      <w:pPr>
        <w:spacing w:line="480" w:lineRule="auto"/>
        <w:ind w:firstLine="1440"/>
        <w:jc w:val="both"/>
      </w:pPr>
      <w:r>
        <w:t xml:space="preserve">(3)</w:t>
      </w:r>
      <w:r xml:space="preserve">
        <w:t> </w:t>
      </w:r>
      <w:r xml:space="preserve">
        <w:t> </w:t>
      </w:r>
      <w: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t xml:space="preserve">(4)</w:t>
      </w:r>
      <w:r xml:space="preserve">
        <w:t> </w:t>
      </w:r>
      <w:r xml:space="preserve">
        <w:t> </w:t>
      </w:r>
      <w: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(6)</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(7)</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(8)</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w:t>
      </w:r>
    </w:p>
    <w:p w:rsidR="003F3435" w:rsidRDefault="0032493E">
      <w:pPr>
        <w:spacing w:line="480" w:lineRule="auto"/>
        <w:ind w:firstLine="1440"/>
        <w:jc w:val="both"/>
      </w:pPr>
      <w:r>
        <w:t xml:space="preserve">(9)</w:t>
      </w:r>
      <w:r xml:space="preserve">
        <w:t> </w:t>
      </w:r>
      <w:r xml:space="preserve">
        <w:t> </w:t>
      </w:r>
      <w:r>
        <w:t xml:space="preserve">require the district and the institution to consider the use of free or low-cost open educational resources in courses offered under the program; [</w:t>
      </w:r>
      <w:r>
        <w:rPr>
          <w:strike/>
        </w:rPr>
        <w:t xml:space="preserve">and</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be posted each year on the district's and the institution's respective Internet websites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designate at least one employee of the district or institution as responsible for providing academic advising to a student who enrolls in a dual credit course under the program before the student begins the course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reenacted and amended by this Act, applies only to an agreement to provide a dual credit program entered into or renewed on or after September 1, 2021.  An agreement to provide a dual credit program entered into or renewed before September 1, 2021,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