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1278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Business &amp; Commerce; April</w:t>
      </w:r>
      <w:r xml:space="preserve">
        <w:t> </w:t>
      </w:r>
      <w:r>
        <w:t xml:space="preserve">7,</w:t>
      </w:r>
      <w:r xml:space="preserve">
        <w:t> </w:t>
      </w:r>
      <w:r>
        <w:t xml:space="preserve">2021, reported adversely, with favorable Committee Substitute by the following vote:</w:t>
      </w:r>
      <w:r>
        <w:t xml:space="preserve"> </w:t>
      </w:r>
      <w:r>
        <w:t xml:space="preserve"> </w:t>
      </w:r>
      <w:r>
        <w:t xml:space="preserve">Yeas 7, Nays 2; April</w:t>
      </w:r>
      <w:r xml:space="preserve">
        <w:t> </w:t>
      </w:r>
      <w:r>
        <w:t xml:space="preserve">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1278</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responsibility for ancillary services costs incurred for the operation of intermittent generation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35.004(e), Utilities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ensure that ancillary services necessary to facilitate the transmission of electric energy are available at reasonable prices with terms and conditions that are not unreasonably preferential, prejudicial, discriminatory, predatory, or anticompetitive. </w:t>
      </w:r>
      <w:r>
        <w:t xml:space="preserve"> </w:t>
      </w:r>
      <w:r>
        <w:rPr>
          <w:u w:val="single"/>
        </w:rPr>
        <w:t xml:space="preserve">The commission shall require intermittent generation resources in the ERCOT power region to purchase ancillary services and replacement power sufficient to manage net load variability.</w:t>
      </w:r>
      <w:r>
        <w:t xml:space="preserve"> </w:t>
      </w:r>
      <w:r>
        <w:t xml:space="preserve"> </w:t>
      </w:r>
      <w:r>
        <w:t xml:space="preserve">In this subsection, "ancillary services" means services necessary to facilitate the transmission of electric energy including load following, standby power, backup power, reactive power, and any other services as the commission may determine by rule.  On the introduction of customer choice in the ERCOT power region, acquisition of generation-related ancillary services on a nondiscriminatory basis by the independent organization in ERCOT on behalf of entities selling electricity at retail shall be deemed to meet the requirements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Public Utility Commission of Texas shall adopt any rules required to implement Section 35.004(e), Utilities Code, as amended by this Act, not later than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