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1280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provisions of The Securities Act for which a person offering or selling a security may be held liable to a person buying the 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4008.051(a),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offers or sells a security in violation of the following is liable to a person who buys the security from the offeror or seller: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4003.001(a), [</w:t>
      </w:r>
      <w:r>
        <w:rPr>
          <w:strike/>
        </w:rPr>
        <w:t xml:space="preserve">4003.002, 4003.003, or 4003.004; Subchapter B, Chapter 4003, other than Section 4003.054(b)(1); Subchapter C, Chapter 4003, other than Section 4003.103(b); Section 4004.001,</w:t>
      </w:r>
      <w:r>
        <w:t xml:space="preserve">] 4004.051, 4004.052, 4004.101(a), [</w:t>
      </w:r>
      <w:r>
        <w:rPr>
          <w:strike/>
        </w:rPr>
        <w:t xml:space="preserve">or</w:t>
      </w:r>
      <w:r>
        <w:t xml:space="preserve">] 4004.102(a)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;</w:t>
      </w:r>
      <w:r>
        <w:t xml:space="preserve">] or [</w:t>
      </w:r>
      <w:r>
        <w:rPr>
          <w:strike/>
        </w:rPr>
        <w:t xml:space="preserve">Section</w:t>
      </w:r>
      <w:r>
        <w:t xml:space="preserve">] 4007.103;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G, Chapter 4003, other than Section 4003.304, or a requirement of the commissioner under Subchapter G, Chapter 4003, other than Section 4003.304;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order under Section 4007.101 or 4007.104.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