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1281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reliability assessment of the ERCOT power grid and certificates of public convenience and necessity for certain transmission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37.052, Utilities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electric utility is not required to amend the utility's certificate of public convenience and necessity to construct a transmission line that connects the utility's existing transmission facilities to a substation or metering point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transmission line does not exceed: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miles in length, if the line connects to a load-serving substation or metering point;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two miles in length, if the line connects to a generation substation or metering point;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landowner whose property would be directly affected by the transmission line, as provided by commission rules, provides written consent for the transmission line;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 rights-of-way necessary for construction of the transmission line have been purchased.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37.056, Utilities Code, is amended by adding Subsection (c-1) and amending Subsection (d)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considering the need for additional service under Subsection (c)(2) for a reliability transmission project that serves the ERCOT power region, the commission must consider the historical load, forecasted load growth, and additional load currently seeking interconnection.</w:t>
      </w:r>
    </w:p>
    <w:p w:rsidR="003F3435" w:rsidRDefault="0032493E">
      <w:pPr>
        <w:spacing w:line="480" w:lineRule="auto"/>
        <w:ind w:firstLine="720"/>
        <w:jc w:val="both"/>
      </w:pPr>
      <w:r>
        <w:t xml:space="preserve">(d)</w:t>
      </w:r>
      <w:r xml:space="preserve">
        <w:t> </w:t>
      </w:r>
      <w:r xml:space="preserve">
        <w:t> </w:t>
      </w:r>
      <w:r>
        <w:t xml:space="preserve">The commission by rule shall establish criteria, in addition to the criteria described by Subsection (c), for granting a certificate for a transmission project that serves the ERCOT power region, that is not necessary to meet state or federal reliability standards, and that </w:t>
      </w:r>
      <w:r>
        <w:rPr>
          <w:u w:val="single"/>
        </w:rPr>
        <w:t xml:space="preserve">is not included in a plan developed under Section 39.904(g)</w:t>
      </w:r>
      <w:r>
        <w:t xml:space="preserve"> [</w:t>
      </w:r>
      <w:r>
        <w:rPr>
          <w:strike/>
        </w:rPr>
        <w:t xml:space="preserve">does not serve a competitive renewable energy zone</w:t>
      </w:r>
      <w:r>
        <w:t xml:space="preserve">]. The criteria must include a comparison of the estimated cost of the transmission project </w:t>
      </w:r>
      <w:r>
        <w:rPr>
          <w:u w:val="single"/>
        </w:rPr>
        <w:t xml:space="preserve">for consumers</w:t>
      </w:r>
      <w:r>
        <w:t xml:space="preserve"> and the estimated </w:t>
      </w:r>
      <w:r>
        <w:rPr>
          <w:u w:val="single"/>
        </w:rPr>
        <w:t xml:space="preserve">congestion</w:t>
      </w:r>
      <w:r>
        <w:t xml:space="preserve"> </w:t>
      </w:r>
      <w:r>
        <w:t xml:space="preserve">cost savings </w:t>
      </w:r>
      <w:r>
        <w:rPr>
          <w:u w:val="single"/>
        </w:rPr>
        <w:t xml:space="preserve">for consumers</w:t>
      </w:r>
      <w:r>
        <w:t xml:space="preserve"> that may result from the transmission project</w:t>
      </w:r>
      <w:r>
        <w:rPr>
          <w:u w:val="single"/>
        </w:rPr>
        <w:t xml:space="preserve">, considering both current and future expected congestion levels and the transmission project's ability to reduce those congestion levels</w:t>
      </w:r>
      <w:r>
        <w:t xml:space="preserve">. The commission shall include with its decision on an application for a certificate to which this subsection applies findings on the criteria.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39, Utilities Code, is amended by adding Section 39.159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39.159.</w:t>
      </w:r>
      <w:r>
        <w:rPr>
          <w:u w:val="single"/>
        </w:rPr>
        <w:t xml:space="preserve"> </w:t>
      </w:r>
      <w:r>
        <w:rPr>
          <w:u w:val="single"/>
        </w:rPr>
        <w:t xml:space="preserve"> </w:t>
      </w:r>
      <w:r>
        <w:rPr>
          <w:u w:val="single"/>
        </w:rPr>
        <w:t xml:space="preserve">GRID RELIABILITY ASSESSMENT.  (a) </w:t>
      </w:r>
      <w:r>
        <w:rPr>
          <w:u w:val="single"/>
        </w:rPr>
        <w:t xml:space="preserve"> </w:t>
      </w:r>
      <w:r>
        <w:rPr>
          <w:u w:val="single"/>
        </w:rPr>
        <w:t xml:space="preserve">The independent organization certified under Section 39.151 for the ERCOT power region shall conduct a biennial assessment of the ERCOT power grid to assess the grid's reliability in extreme weather scenarios.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assessment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 the impact of different levels of thermal and renewable generation availability;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 transmission projects that may increase the grid's reliability in extreme weather scenarios.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proceeding affecting a certificate of public convenience and necessity that commences on or after the effective date of this Act.  A proceeding affecting a certificate of public convenience and necessity that commenced before the effective date of this Act is governed by the law in effect on the date the proceeding is commenced,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1281 passed the Senate on April</w:t>
      </w:r>
      <w:r xml:space="preserve">
        <w:t> </w:t>
      </w:r>
      <w:r>
        <w:t xml:space="preserve">19,</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 May</w:t>
      </w:r>
      <w:r xml:space="preserve">
        <w:t> </w:t>
      </w:r>
      <w:r>
        <w:t xml:space="preserve">28,</w:t>
      </w:r>
      <w:r xml:space="preserve">
        <w:t> </w:t>
      </w:r>
      <w:r>
        <w:t xml:space="preserve">2021, Senate refused to concur in House amendments and requested appointment of Conference Committee; May</w:t>
      </w:r>
      <w:r xml:space="preserve">
        <w:t> </w:t>
      </w:r>
      <w:r>
        <w:t xml:space="preserve">28,</w:t>
      </w:r>
      <w:r xml:space="preserve">
        <w:t> </w:t>
      </w:r>
      <w:r>
        <w:t xml:space="preserve">2021, House granted request of the Senate; May 30, 2021, Senate adopted Conference Committee Report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1281 passed the House, with amendments, on May 26, 2021, by the following vote:</w:t>
      </w:r>
      <w:r xml:space="preserve">
        <w:t> </w:t>
      </w:r>
      <w:r xml:space="preserve">
        <w:t> </w:t>
      </w:r>
      <w:r>
        <w:t xml:space="preserve">Yeas</w:t>
      </w:r>
      <w:r xml:space="preserve">
        <w:t> </w:t>
      </w:r>
      <w:r>
        <w:t xml:space="preserve">142, Nays</w:t>
      </w:r>
      <w:r xml:space="preserve">
        <w:t> </w:t>
      </w:r>
      <w:r>
        <w:t xml:space="preserve">1, two present not voting; May</w:t>
      </w:r>
      <w:r xml:space="preserve">
        <w:t> </w:t>
      </w:r>
      <w:r>
        <w:t xml:space="preserve">28,</w:t>
      </w:r>
      <w:r xml:space="preserve">
        <w:t> </w:t>
      </w:r>
      <w:r>
        <w:t xml:space="preserve">2021, House granted request of the Senate for appointment of Conference Committee; May</w:t>
      </w:r>
      <w:r xml:space="preserve">
        <w:t> </w:t>
      </w:r>
      <w:r>
        <w:t xml:space="preserve">30,</w:t>
      </w:r>
      <w:r xml:space="preserve">
        <w:t> </w:t>
      </w:r>
      <w:r>
        <w:t xml:space="preserve">2021, House adopted Conference Committee Report by the following vote:</w:t>
      </w:r>
      <w:r xml:space="preserve">
        <w:t> </w:t>
      </w:r>
      <w:r xml:space="preserve">
        <w:t> </w:t>
      </w:r>
      <w:r>
        <w:t xml:space="preserve">Yeas</w:t>
      </w:r>
      <w:r xml:space="preserve">
        <w:t> </w:t>
      </w:r>
      <w:r>
        <w:t xml:space="preserve">137,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