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87R1691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public transit motor bus by certain mass transit entities on an improved shoulder.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545.058(c),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limitation in this section on driving on an improved shoulder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authorized emergency vehicle responding to a call;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police patrol;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bicycle;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slow-moving vehicle, as defined by Section 547.001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transit motor bus of a mass transit entity operating under Subtitle K, Title 6, if the motor bus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within the boundaries of a metropolitan planning organization in which: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five counties are located;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two counties with the largest populations are part of a regional mobility authority governed by Chapter 370;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bypassing traffic on a highway that is under construction by operating on a shoulder designated by the Texas Department of Transportation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