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1295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support for comprehensive regional universities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62, Education Code, is amended by adding Subchapter I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</w:t>
      </w:r>
      <w:r>
        <w:rPr>
          <w:u w:val="single"/>
        </w:rPr>
        <w:t xml:space="preserve"> </w:t>
      </w:r>
      <w:r>
        <w:rPr>
          <w:u w:val="single"/>
        </w:rPr>
        <w:t xml:space="preserve">I. </w:t>
      </w:r>
      <w:r>
        <w:rPr>
          <w:u w:val="single"/>
        </w:rPr>
        <w:t xml:space="preserve"> </w:t>
      </w:r>
      <w:r>
        <w:rPr>
          <w:u w:val="single"/>
        </w:rPr>
        <w:t xml:space="preserve">COMPREHENSIVE REGIONAL UNIVERSITY FUNDING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62.171. </w:t>
      </w:r>
      <w:r>
        <w:rPr>
          <w:u w:val="single"/>
        </w:rPr>
        <w:t xml:space="preserve"> 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subchapter: </w:t>
      </w:r>
      <w:r>
        <w:rPr>
          <w:u w:val="single"/>
        </w:rP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"At-risk student"</w:t>
      </w:r>
      <w:r>
        <w:rPr>
          <w:u w:val="single"/>
        </w:rPr>
        <w:t xml:space="preserve"> </w:t>
      </w:r>
      <w:r>
        <w:rPr>
          <w:u w:val="single"/>
        </w:rPr>
        <w:t xml:space="preserve">means an undergraduate student of an eligible institution: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whose score on the Scholastic Assessment Test (SAT) or the American College Test (ACT) is less than the national mean score of students'</w:t>
      </w:r>
      <w:r>
        <w:rPr>
          <w:u w:val="single"/>
        </w:rPr>
        <w:t xml:space="preserve"> </w:t>
      </w:r>
      <w:r>
        <w:rPr>
          <w:u w:val="single"/>
        </w:rPr>
        <w:t xml:space="preserve">scores on that test;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who has previously received a grant under the federal Pell Grant program or met the Expected Family Contribution(EFC) criterion for a grant under that program.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"Comprehensive regional university"</w:t>
      </w:r>
      <w:r>
        <w:rPr>
          <w:u w:val="single"/>
        </w:rPr>
        <w:t xml:space="preserve"> </w:t>
      </w:r>
      <w:r>
        <w:rPr>
          <w:u w:val="single"/>
        </w:rPr>
        <w:t xml:space="preserve">means an institution of higher education that is designated as a doctoral, comprehensive, or master's university under the coordinating board's accountability system.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"Eligible institution"</w:t>
      </w:r>
      <w:r>
        <w:rPr>
          <w:u w:val="single"/>
        </w:rPr>
        <w:t xml:space="preserve"> </w:t>
      </w:r>
      <w:r>
        <w:rPr>
          <w:u w:val="single"/>
        </w:rPr>
        <w:t xml:space="preserve">means a comprehensive regional university.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62.172. </w:t>
      </w:r>
      <w:r>
        <w:rPr>
          <w:u w:val="single"/>
        </w:rPr>
        <w:t xml:space="preserve"> </w:t>
      </w:r>
      <w:r>
        <w:rPr>
          <w:u w:val="single"/>
        </w:rPr>
        <w:t xml:space="preserve">PURPOSE. </w:t>
      </w:r>
      <w:r>
        <w:rPr>
          <w:u w:val="single"/>
        </w:rPr>
        <w:t xml:space="preserve"> </w:t>
      </w:r>
      <w:r>
        <w:rPr>
          <w:u w:val="single"/>
        </w:rPr>
        <w:t xml:space="preserve">The purpose of this subchapter is to provide funding to each comprehensive regional university to support their mission to serve at-risk students, help meet the state's workforce needs, and enhance their regional economies.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62.173.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FUNDING.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In each state fiscal year, amounts shall be appropriated for purposes of this subchapter to eligible institutions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a base amount of $500,000 or a greater amount provided by appropriation to each eligible institution;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$1,000 or a greater amount provided by appropriation for each degree awarded to an at-risk student by an eligible institution.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The number of degrees awarded under Subsection (a)(2) is determined by using the average number of degrees awarded to at-risk students annually by each institution in the three preceding state fiscal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An alternative allocation method for this funding may be provided by appropriation.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62.174.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AND REPORT.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The coordinating board in consultation with a representative group of eligible institutions shall conduct a study of the funding methodology established under Section 62.173 to determine its effectiveness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allocating state funds fairly and equitably;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promoting student success at eligible institutions.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Not later than September 1, 2022, the coordinating board shall submit to the governor and the Legislative Budget Board a written report that includes the study's findings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>
        <w:t xml:space="preserve">(a)</w:t>
      </w:r>
      <w:r xml:space="preserve">
        <w:t> </w:t>
      </w:r>
      <w:r>
        <w:t xml:space="preserve">The funding for this Act for the state fiscal years ending in 2022 and 2023 is contingent on the legislature providing a specific appropriation for the implementation of this Act in the general appropriations act of the 87th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>
        <w:t xml:space="preserve">This Act takes effect immediately if this Act receives the votes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those sections take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