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1296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2021; March</w:t>
      </w:r>
      <w:r xml:space="preserve">
        <w:t> </w:t>
      </w:r>
      <w:r>
        <w:t xml:space="preserve">18,</w:t>
      </w:r>
      <w:r xml:space="preserve">
        <w:t> </w:t>
      </w:r>
      <w:r>
        <w:t xml:space="preserve">2021, read first time and referred to Committee on Business &amp; Commerce; April</w:t>
      </w:r>
      <w:r xml:space="preserve">
        <w:t> </w:t>
      </w:r>
      <w:r>
        <w:t xml:space="preserve">26,</w:t>
      </w:r>
      <w:r xml:space="preserve">
        <w:t> </w:t>
      </w:r>
      <w:r>
        <w:t xml:space="preserve">2021, reported adversely, with favorable Committee Substitute by the following vote:</w:t>
      </w:r>
      <w:r>
        <w:t xml:space="preserve"> </w:t>
      </w:r>
      <w:r>
        <w:t xml:space="preserve"> </w:t>
      </w:r>
      <w:r>
        <w:t xml:space="preserve">Yeas 9, Nays 0; April</w:t>
      </w:r>
      <w:r xml:space="preserve">
        <w:t> </w:t>
      </w:r>
      <w:r>
        <w:t xml:space="preserve">26,</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1296</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commissioner of insurance to review rates and rate changes for certain health benefit plans.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Insurance Code, is amended by adding Subtitle N to read as follows:</w:t>
      </w:r>
    </w:p>
    <w:p w:rsidR="003F3435" w:rsidRDefault="0032493E">
      <w:pPr>
        <w:spacing w:line="480" w:lineRule="auto"/>
        <w:jc w:val="center"/>
      </w:pPr>
      <w:r>
        <w:rPr>
          <w:u w:val="single"/>
        </w:rPr>
        <w:t xml:space="preserve">SUBTITLE N.  RATES</w:t>
      </w:r>
    </w:p>
    <w:p w:rsidR="003F3435" w:rsidRDefault="0032493E">
      <w:pPr>
        <w:spacing w:line="480" w:lineRule="auto"/>
        <w:jc w:val="center"/>
      </w:pPr>
      <w:r>
        <w:rPr>
          <w:u w:val="single"/>
        </w:rPr>
        <w:t xml:space="preserve">CHAPTER 1698.  RATES FOR CERTAIN COVERAGE</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1698.001.</w:t>
      </w:r>
      <w:r>
        <w:rPr>
          <w:u w:val="single"/>
        </w:rPr>
        <w:t xml:space="preserve"> </w:t>
      </w:r>
      <w:r>
        <w:rPr>
          <w:u w:val="single"/>
        </w:rPr>
        <w:t xml:space="preserve"> </w:t>
      </w:r>
      <w:r>
        <w:rPr>
          <w:u w:val="single"/>
        </w:rPr>
        <w:t xml:space="preserve">APPLICABILITY OF CHAPTER.  This chapter applies only to rates for the following health benefit plans: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major medical expense insurance policy to which Chapter 1201 applies;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 health maintenance organization coverage;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small employer health benefit plan provided under Chapter 1501.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1698.002.</w:t>
      </w:r>
      <w:r>
        <w:rPr>
          <w:u w:val="single"/>
        </w:rPr>
        <w:t xml:space="preserve"> </w:t>
      </w:r>
      <w:r>
        <w:rPr>
          <w:u w:val="single"/>
        </w:rPr>
        <w:t xml:space="preserve"> </w:t>
      </w:r>
      <w:r>
        <w:rPr>
          <w:u w:val="single"/>
        </w:rPr>
        <w:t xml:space="preserve">APPLICABILITY OF OTHER LAWS GOVERNING RATES. </w:t>
      </w:r>
      <w:r>
        <w:rPr>
          <w:u w:val="single"/>
        </w:rPr>
        <w:t xml:space="preserve"> </w:t>
      </w:r>
      <w:r>
        <w:rPr>
          <w:u w:val="single"/>
        </w:rPr>
        <w:t xml:space="preserve">The requirements of this chapter are in addition to any other provision of this code governing health benefit plan rates. </w:t>
      </w:r>
      <w:r>
        <w:rPr>
          <w:u w:val="single"/>
        </w:rPr>
        <w:t xml:space="preserve"> </w:t>
      </w:r>
      <w:r>
        <w:rPr>
          <w:u w:val="single"/>
        </w:rPr>
        <w:t xml:space="preserve">Except as otherwise provided by this chapter, in the case of a conflict between this chapter and another provision of this code, this chapter controls.</w:t>
      </w:r>
    </w:p>
    <w:p w:rsidR="003F3435" w:rsidRDefault="0032493E">
      <w:pPr>
        <w:spacing w:line="480" w:lineRule="auto"/>
        <w:jc w:val="center"/>
      </w:pPr>
      <w:r>
        <w:rPr>
          <w:u w:val="single"/>
        </w:rPr>
        <w:t xml:space="preserve">SUBCHAPTER B.  REVIEW OF RATES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1698.051.</w:t>
      </w:r>
      <w:r>
        <w:rPr>
          <w:u w:val="single"/>
        </w:rPr>
        <w:t xml:space="preserve"> </w:t>
      </w:r>
      <w:r>
        <w:rPr>
          <w:u w:val="single"/>
        </w:rPr>
        <w:t xml:space="preserve"> </w:t>
      </w:r>
      <w:r>
        <w:rPr>
          <w:u w:val="single"/>
        </w:rPr>
        <w:t xml:space="preserve">REVIEW OF PREMIUM RATES.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"Individual health benefit plan"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accident and health insurance policy to which Chapter 1201 applies;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individual health maintenance organization coverage.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"Small employer health benefit plan" has the meaning assigned by Section 1501.002.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by rule shall establish a process under which the commissioner reviews health benefit plan rates and rate changes for compliance with this chapter and other applicable state and federal law, including 42 U.S.C. Sections 300gg, 300gg-94, and 18032(c) and those sections'</w:t>
      </w:r>
      <w:r>
        <w:rPr>
          <w:u w:val="single"/>
        </w:rPr>
        <w:t xml:space="preserve"> </w:t>
      </w:r>
      <w:r>
        <w:rPr>
          <w:u w:val="single"/>
        </w:rPr>
        <w:t xml:space="preserve">implementing regulations, including rules establishing geographic rating areas.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1698.052.</w:t>
      </w:r>
      <w:r>
        <w:rPr>
          <w:u w:val="single"/>
        </w:rPr>
        <w:t xml:space="preserve"> </w:t>
      </w:r>
      <w:r>
        <w:rPr>
          <w:u w:val="single"/>
        </w:rPr>
        <w:t xml:space="preserve"> </w:t>
      </w:r>
      <w:r>
        <w:rPr>
          <w:u w:val="single"/>
        </w:rPr>
        <w:t xml:space="preserve">ADDITIONAL RULES AND GUIDANCE RELATED TO INDIVIDUAL HEALTH PLAN RATES.  (a)  In this section, "qualified health plan" has the meaning assigned by Section 1301(a), Patient Protection and Affordable Care Act (42 U.S.C. Section 18021).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and provide guidance regarding additional requirements related to individual health benefit plans, including qualified health plans, to address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plan issuer has complied with all requirements for pooling risk and participating in risk adjustment programs in effect under state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covered benefits or health benefit plan design or, for a rate change, any changes to the benefits or design;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allowable variations for case characteristics, risk classifications, and participation in programs promoting wellness;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factor listed in 45 C.F.R. Section 154.301(a)(4) to the extent applicable.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determination under this section regarding a proposed rate for a qualified health plan, the commissioner shall consider, in addition to the factors under Subsection (b),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purchasing power of consumers who are eligible for a premium subsidy under the Patient Protection and Affordable Care Act (Pub. L. No.</w:t>
      </w:r>
      <w:r>
        <w:rPr>
          <w:u w:val="single"/>
        </w:rPr>
        <w:t xml:space="preserve"> </w:t>
      </w:r>
      <w:r>
        <w:rPr>
          <w:u w:val="single"/>
        </w:rPr>
        <w:t xml:space="preserve">111-148);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plan is in the silver level, as described by 42 U.S.C. Section 18022(d), whether the rate is appropriate for the plan in relation to the rates charged for qualified health plans offering different levels of coverage, taking into account any funding or lack of funding for cost-sharing reductions and the covered benefits for each level of coverage;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plan issuer utilized the induced demand factors developed by the Centers for Medicare and Medicaid Services for the risk adjustment program established under 42 U.S.C. Section 18063 for the level of coverage offered by the plan or any state-specific induced demand factors established by department regulations.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consider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commissioner determines appropriate for comparison purposes, medical claims trends reported by plan issuers in this state or in a region of this country or the country as a whole;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inflation indexes.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1698.053.</w:t>
      </w:r>
      <w:r>
        <w:rPr>
          <w:u w:val="single"/>
        </w:rPr>
        <w:t xml:space="preserve"> </w:t>
      </w:r>
      <w:r>
        <w:rPr>
          <w:u w:val="single"/>
        </w:rPr>
        <w:t xml:space="preserve"> </w:t>
      </w:r>
      <w:r>
        <w:rPr>
          <w:u w:val="single"/>
        </w:rPr>
        <w:t xml:space="preserve">PLAN DESIGN FLEXIBILITY WITHIN RATING AREAS.  Notwithstanding any other provision of this code, a health benefit plan issuer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different plan designs by rating area to individuals and small employers;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network access beyond the geographic rating area.</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1698.054.</w:t>
      </w:r>
      <w:r>
        <w:rPr>
          <w:u w:val="single"/>
        </w:rPr>
        <w:t xml:space="preserve"> </w:t>
      </w:r>
      <w:r>
        <w:rPr>
          <w:u w:val="single"/>
        </w:rPr>
        <w:t xml:space="preserve"> </w:t>
      </w:r>
      <w:r>
        <w:rPr>
          <w:u w:val="single"/>
        </w:rPr>
        <w:t xml:space="preserve">FEDERAL ACTUARIAL LEVELS AND PLAN COST-SHARING.  Notwithstanding any other provision of this code, a health benefit plan issuer may offer plan designs with deductibles, coinsurance, and other cost-sharing mechanisms necessary to comply with federal actuarial values in the individual and small group market in this state.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1698.055.</w:t>
      </w:r>
      <w:r>
        <w:rPr>
          <w:u w:val="single"/>
        </w:rPr>
        <w:t xml:space="preserve"> </w:t>
      </w:r>
      <w:r>
        <w:rPr>
          <w:u w:val="single"/>
        </w:rPr>
        <w:t xml:space="preserve"> </w:t>
      </w:r>
      <w:r>
        <w:rPr>
          <w:u w:val="single"/>
        </w:rPr>
        <w:t xml:space="preserve">FEDERAL FUNDING.  The commissioner shall seek all available federal funding to cover the cost to the department of reviewing rates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N, Title 8, Insurance Code, as added by this Act, applies only to rates for health benefit plan coverage delivered, issued for delivery, or renewed on or after January 1, 2023.  Rates for health benefit plan coverage delivered, issued for delivery, or renewed before January 1, 2023, are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Insurance is required to implement a provision of this Act only if the legislature appropriates money specifically for that purpose.  If the legislature does not appropriate money specifically for that purpose, the department may, but is not required to, implement a provision of this Act using other appropriations that are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