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1308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in consultation with the Texas A&amp;M Transportation Institute and the appropriate federal agencies,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connected driving systems, and other emerging technologies to alleviate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connected driving systems, and other emerging technologies on the transportation industry workforce,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2023,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