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1308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in consultation with the Texas A&amp;M Transportation Institute and the appropriate federal agencies,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connected driving systems, and other emerging technologies to alleviate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connected driving systems, and other emerging technologies on the transportation industry workforce and the broader Texas economy,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2023,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1308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1308 passed the House, with amendments,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109, Nays</w:t>
      </w:r>
      <w:r xml:space="preserve">
        <w:t> </w:t>
      </w:r>
      <w:r>
        <w:t xml:space="preserve">28, two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29,</w:t>
      </w:r>
      <w:r xml:space="preserve">
        <w:t> </w:t>
      </w:r>
      <w:r>
        <w:t xml:space="preserve">2021, House adopted Conference Committee Report by the following vote:</w:t>
      </w:r>
      <w:r xml:space="preserve">
        <w:t> </w:t>
      </w:r>
      <w:r xml:space="preserve">
        <w:t> </w:t>
      </w:r>
      <w:r>
        <w:t xml:space="preserve">Yeas</w:t>
      </w:r>
      <w:r xml:space="preserve">
        <w:t> </w:t>
      </w:r>
      <w:r>
        <w:t xml:space="preserve">102, Nays</w:t>
      </w:r>
      <w:r xml:space="preserve">
        <w:t> </w:t>
      </w:r>
      <w:r>
        <w:t xml:space="preserve">37,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