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1338</w:t>
      </w:r>
    </w:p>
    <w:p w:rsidR="003F3435" w:rsidRDefault="0032493E">
      <w:pPr>
        <w:ind w:firstLine="720"/>
        <w:jc w:val="both"/>
      </w:pPr>
      <w:r>
        <w:t xml:space="preserve">(Sanford)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disclosure requirements for agreements consenting to  municipal annexation.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A, Chapter 43, Local Government Code, is amended by adding Section 43.004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43.004.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REQUIRED DISCLOSURE BEFORE ANNEXATION AGREEMENT.  (a)  At the time a municipality makes an offer to a landowner to enter into an agreement in which the landowner consents to annexation, the municipality must provide the landowner with the written disclosure described by Section 212.172(b-1).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annexation agreement for which a disclosure is not provided in accordance with Subsection (a)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212.172, Local Government Code, is  amended by adding Subsections (b-1) and (b-2)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At the time a municipality makes an offer to a landowner to enter into an agreement under this subchapter, the municipality must provide the landowner with a written disclosure that includes: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statement that the landowner is not required to enter into the agreement;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authority under which the municipality may annex the land with references to relevant law;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plain-language description of the annexation procedures applicable to the land;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whether the procedures require the landowner's consent.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(b-2)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agreement for which a disclosure is not provided in accordance with Subsection (b-1) is void.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1338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