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disclosure requirements for agreements consenting to 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Local Government Code, is amended by adding Section 43.004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DISCLOSURE BEFORE ANNEXATION AGREEMENT.  (a)  At the time a municipality makes an offer to a landowner to enter into an agreement in which the landowner consents to annexation, the municipality must provide the landowner with the written disclosure described by Section 212.172(b-1).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annexation agreement for which a disclosure is not provided in accordance with Subsection (a)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212.172, Local Government Code, is  amended by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municipality makes an offer to a landowner to enter into an agreement under this subchapter, the municipality must provide the landowner with a written disclosure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landowner is not required to enter into the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under which the municipality may annex the land with references to relevant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plain-language description of the annexation procedures applicable to the land;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procedures require the landowner's consent.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for which a disclosure is not provided in accordance with Subsection (b-1)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