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1339</w:t>
      </w:r>
    </w:p>
    <w:p w:rsidR="003F3435" w:rsidRDefault="0032493E">
      <w:pPr>
        <w:ind w:firstLine="720"/>
        <w:jc w:val="both"/>
      </w:pPr>
      <w:r>
        <w:t xml:space="preserve">(King of Uvalde)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to request attorney general advice on questions relating to actions in which the state is interested.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402.043,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402.043.</w:t>
      </w:r>
      <w:r xml:space="preserve">
        <w:t> </w:t>
      </w:r>
      <w:r xml:space="preserve">
        <w:t> </w:t>
      </w:r>
      <w:r>
        <w:t xml:space="preserve">QUESTIONS RELATING TO ACTIONS IN WHICH THE STATE IS INTERESTED.  The attorney general shall advise 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a district or county</w:t>
      </w:r>
      <w:r>
        <w:t xml:space="preserve">] attorney [</w:t>
      </w:r>
      <w:r>
        <w:rPr>
          <w:strike/>
        </w:rPr>
        <w:t xml:space="preserve">of this state</w:t>
      </w:r>
      <w:r>
        <w:t xml:space="preserve">], on the attorney's request, in the prosecution or defense of an action in which the state is interested before a district or inferior court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requesting attorney has investigated the question involved and submitted a brief to the attorney general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requesting attorney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or county attorney;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employee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serves as the head of the civil legal department of a county located on the international border that has a population of less than 400,000 and contains one or more municipalities with a population of 200,000 or more;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received approval for the submission of the request from the commissioners court of the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