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87R7238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1346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forensic services within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7, Health and Safety Code, is amended by adding Chapter 535 to read as follows:</w:t>
      </w:r>
    </w:p>
    <w:p w:rsidR="003F3435" w:rsidRDefault="0032493E">
      <w:pPr>
        <w:spacing w:line="480" w:lineRule="auto"/>
        <w:jc w:val="center"/>
      </w:pPr>
      <w:r>
        <w:rPr>
          <w:u w:val="single"/>
        </w:rPr>
        <w:t xml:space="preserve">CHAPTER 535. OFFICE OF FORENSIC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"Forensic patient" and "forensic services" have the meanings assigned by Section 532.013.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forensic services established within the department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535.002.</w:t>
      </w:r>
      <w:r>
        <w:rPr>
          <w:u w:val="single"/>
        </w:rPr>
        <w:t xml:space="preserve"> </w:t>
      </w:r>
      <w:r>
        <w:rPr>
          <w:u w:val="single"/>
        </w:rPr>
        <w:t xml:space="preserve"> </w:t>
      </w:r>
      <w:r>
        <w:rPr>
          <w:u w:val="single"/>
        </w:rPr>
        <w:t xml:space="preserve">ESTABLISHMENT; PURPOSE. </w:t>
      </w:r>
      <w:r>
        <w:rPr>
          <w:u w:val="single"/>
        </w:rPr>
        <w:t xml:space="preserve"> </w:t>
      </w:r>
      <w:r>
        <w:rPr>
          <w:u w:val="single"/>
        </w:rPr>
        <w:t xml:space="preserve">(a) </w:t>
      </w:r>
      <w:r>
        <w:rPr>
          <w:u w:val="single"/>
        </w:rPr>
        <w:t xml:space="preserve"> </w:t>
      </w:r>
      <w:r>
        <w:rPr>
          <w:u w:val="single"/>
        </w:rPr>
        <w:t xml:space="preserve">The office is established as an office within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is created to ensure a strategic statewide approach to the provision of forensic services. The office shall have input into policy, service delivery, funding, and commission or department rulemaking regarding the provision of forensic services to ensure a comprehensive, integrated, and strategic systems-level approach to forensic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forensic director appointed under Section 532.013 shall oversee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535.003.</w:t>
      </w:r>
      <w:r>
        <w:rPr>
          <w:u w:val="single"/>
        </w:rPr>
        <w:t xml:space="preserve"> </w:t>
      </w:r>
      <w:r>
        <w:rPr>
          <w:u w:val="single"/>
        </w:rPr>
        <w:t xml:space="preserve"> </w:t>
      </w:r>
      <w:r>
        <w:rPr>
          <w:u w:val="single"/>
        </w:rPr>
        <w:t xml:space="preserve">POWERS AND DUTIES.  (a)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and streamline internal commission processes and forensic services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and providing oversight to the processes;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clinical leadership;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collecting data related to forensic services to improve the provision of those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statewide strategic forensic plan as an addendum to the statewide behavioral health strategic plan to address the needs of forensic patients;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best practices for inpatient policies and procedures relating to the provision of forensic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and consult on all commission contracts related to the provision of forensic services, diversion efforts, and crisis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review and consult on all commission contracts for outpatient and jail-based competency restoration programs;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examine local initiatives related to the provision of forensic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evaluate the success of local initiatives described by Subdivision (6) and, based on that evaluation, develop and implement a plan to expand successful local initiatives to other areas in this state, including scaling those initiatives for use in state facilities licensed under Subtitle B and by other forensic services providers;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develop special initiatives at the local, state, and federal level;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support to the department's Joint Committee on Access and Forensic Services in the development of policy and legislative proposals for the improvement of forensic services in this state;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 training and technical assistance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local mental health authorities;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local behavioral health authorities designated under Section 533.0356;</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staff members of courts with jurisdiction over forensic patients;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county jails;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law enforcement officers;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direct and coordinate data analysis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 the efficiency of forensic service commission programs;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forensic services programs in this state;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develop and maintain a comprehensive statewide registry of forensic hospital bed availability and competency restoration services;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develop a coordinated statewide system of forensic service information and technical assistance;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identify strategies to maximize competency restoration programs across this state;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develop and implement strategies to address the increasing demands on the forensic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office's duties, the office must collect and analyze data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patient outcomes from behavioral health services and programs for individuals with intellectual and developmental disabilities, including data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grant program established under Section 531.0993,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outpatient competency restoration service providers;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jail-based competency restoration providers;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Harris County Mental Health Jail Diversion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length of time it takes an individual to receive inpatient competency restoration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length of time it takes an individual to receive forensic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means by which forensic patients and justice-involved individuals are receiving forensic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commissioner of state health services shall establish the office of forensic services within the Department of State Health Services as required by Chapter 535,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