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Blanco</w:t>
      </w:r>
      <w:r xml:space="preserve">
        <w:tab wTab="150" tlc="none" cTlc="0"/>
      </w:r>
      <w:r>
        <w:t xml:space="preserve">S.B.</w:t>
      </w:r>
      <w:r xml:space="preserve">
        <w:t> </w:t>
      </w:r>
      <w:r>
        <w:t xml:space="preserve">No.</w:t>
      </w:r>
      <w:r xml:space="preserve">
        <w:t> </w:t>
      </w:r>
      <w:r>
        <w:t xml:space="preserve">1349</w:t>
      </w:r>
    </w:p>
    <w:p w:rsidR="003F3435" w:rsidRDefault="0032493E">
      <w:pPr>
        <w:jc w:val="both"/>
      </w:pPr>
      <w:r xml:space="preserve">
        <w:t> </w:t>
      </w:r>
      <w:r xml:space="preserve">
        <w:t> </w:t>
      </w:r>
      <w:r xml:space="preserve">
        <w:t> </w:t>
      </w:r>
      <w:r xml:space="preserve">
        <w:t> </w:t>
      </w:r>
      <w:r xml:space="preserve">
        <w:t> </w:t>
      </w:r>
      <w:r>
        <w:t xml:space="preserve">Miles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placing a child in the possessory conservatorship of the child's parents in certain situations.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263, Family Code, is amended by adding Section 263.409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263.409.</w:t>
      </w:r>
      <w:r>
        <w:rPr>
          <w:u w:val="single"/>
        </w:rPr>
        <w:t xml:space="preserve"> </w:t>
      </w:r>
      <w:r>
        <w:rPr>
          <w:u w:val="single"/>
        </w:rPr>
        <w:t xml:space="preserve"> </w:t>
      </w:r>
      <w:r>
        <w:rPr>
          <w:u w:val="single"/>
        </w:rPr>
        <w:t xml:space="preserve">MODIFICATION OF FINAL ORDER.  (a)  A parent may file suit to modify a final order rendered under this subchapter if the final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appoints as the child's managing conservator a person who is not the child's parent, other than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did not terminate the rights of the parent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suit to modify a final order authorized by this section, the court may order the return of the child to the child's parent if the court finds it is in the best interest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263.501(a), Family Code, is amended to read as follows:</w:t>
      </w:r>
    </w:p>
    <w:p w:rsidR="003F3435" w:rsidRDefault="0032493E">
      <w:pPr>
        <w:spacing w:line="480" w:lineRule="auto"/>
        <w:ind w:firstLine="720"/>
        <w:jc w:val="both"/>
      </w:pPr>
      <w:r>
        <w:t xml:space="preserve">(a)</w:t>
      </w:r>
      <w:r xml:space="preserve">
        <w:t> </w:t>
      </w:r>
      <w:r xml:space="preserve">
        <w:t> </w:t>
      </w:r>
      <w:r>
        <w:t xml:space="preserve">If the department </w:t>
      </w:r>
      <w:r>
        <w:rPr>
          <w:u w:val="single"/>
        </w:rPr>
        <w:t xml:space="preserve">is appointed</w:t>
      </w:r>
      <w:r>
        <w:t xml:space="preserve"> [</w:t>
      </w:r>
      <w:r>
        <w:rPr>
          <w:strike/>
        </w:rPr>
        <w:t xml:space="preserve">has been named</w:t>
      </w:r>
      <w:r>
        <w:t xml:space="preserve">] as a child's managing conservator in a final order that does not include termination of parental rights, </w:t>
      </w:r>
      <w:r>
        <w:rPr>
          <w:u w:val="single"/>
        </w:rPr>
        <w:t xml:space="preserve">or if the department is not dismissed from the suit in a final order that appoints a person who is not the child's parent as the child's managing conservator and that does not include termination of parental rights,</w:t>
      </w:r>
      <w:r>
        <w:t xml:space="preserve"> the court shall conduct a permanency hearing after the final order is rendered at least once every six months until the department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no longer the child's managing conservator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dismissed from the suit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263, Family Code, is amended by adding Section 263.504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263.504.</w:t>
      </w:r>
      <w:r>
        <w:rPr>
          <w:u w:val="single"/>
        </w:rPr>
        <w:t xml:space="preserve"> </w:t>
      </w:r>
      <w:r>
        <w:rPr>
          <w:u w:val="single"/>
        </w:rPr>
        <w:t xml:space="preserve"> </w:t>
      </w:r>
      <w:r>
        <w:rPr>
          <w:u w:val="single"/>
        </w:rPr>
        <w:t xml:space="preserve">RETURNING CHILD TO PARENT.  (a)  At each permanency hearing after the date the court rendered the final order appointing the department as the child's managing conservator without terminating parental rights, the department shall review the child's placement to determine whether the child could be returned to the child's parent.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each permanency hearing after the date the court rendered the final order appointing a person who is not the child's parent as the child's managing conservator without terminating parental rights or dismissing the department from the suit, the department shall review the child's placement to determine whether the child could be returned to the child's parent.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recommend reunification with the child's parent if the department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 of the child has remedied the condition or conditions that led to removal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 of the child is willing and able to care for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best interest of the child will be served by placing the child with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return the child to the child's parent if the court finds it is in the best interest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a parent's right under other applicable law to seek a modification of an order issued under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to a permanency hearing held on or after the effective date of this Act regardless of the date on which the Department of Family and Protective Services is named the child's managing conservator.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