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87R12087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placing a child in the possessory conservatorship of the child's parents in certain situations.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263, Family Code, is amended by adding Section 263.504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263.504.</w:t>
      </w:r>
      <w:r>
        <w:rPr>
          <w:u w:val="single"/>
        </w:rPr>
        <w:t xml:space="preserve"> </w:t>
      </w:r>
      <w:r>
        <w:rPr>
          <w:u w:val="single"/>
        </w:rPr>
        <w:t xml:space="preserve"> </w:t>
      </w:r>
      <w:r>
        <w:rPr>
          <w:u w:val="single"/>
        </w:rPr>
        <w:t xml:space="preserve">RETURNING CHILD TO PARENT.  (a)  At each placement review hearing after the second anniversary of the date the court rendered the final order naming the department or another person as the child's managing conservator without terminating parental rights, the department shall review the child's placement to determine whether the child could be returned to the child's parent if the parent was named possessory conservator for the child in the final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recommend reunification with the child's parent if the department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of the child has remedied the condition or conditions that led to removal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parent of the child is willing and able to care for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best interest of the child will be served by placing the child with the child's parent;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child's preference is to reside with the child's parent;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 does not have other options for permanency.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return the child to the child's parent if the court finds it is in the best interest of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placement review hearing held on or after the effective date of this Act regardless of the date on which the Department of Family and Protective Services is named the child's managing conservator.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