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1353</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certain immunization records and of certain biennial legislative reports on immunizations issued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161.0074,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public health disaster was declared under Chapter 81 during the preceding two years, in addition to the information required under Subsection (c), for immunizations that immunize an individual against the communicable disease subject to the declaration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by county on the accessibility to the immunizations of county residents by age, race, and geographic location, provided the information does not personally identify any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assess disparities in access to the immunizations by age, race, and geographic location, including an assessment of immunization accessibility in each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estimated economic benefit to this state of reducing disparities in immunization accessibility;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recommendations for reducing disparities in immunization accessibility;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recommendations for legislative action to increase immunization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immunization record provided by a health care provider as required by Section 161.00705 for inclusion in the immunization registry during a public health disaster declared under Chapter 81 must contain the race, age, ethnicity, and county of residence of the individual immunized.  This subsection applies only to immunizations that immunize an individual against the communicable disease subject to the declaration.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