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87R9288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biennial legislative report on immunizations issued by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161.0074(c),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the current immunization rates by geographic region of the state, where available;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focus on the geographic regions of the state with immunization rates below the state average for preschool children;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describe the approaches identified to increase immunization rates in underserved areas and the estimated cost for each;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identify changes to department procedures needed to increase immunization rates;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identify the services provided under and provisions of contracts entered into by the department to increase immunization rates in underserved areas;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identify performance measures used in contracts described by Subdivision (5);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include the number and type of exemptions used in the past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include the number of complaints received by the department related to the department's failure to comply with requests for exclusion of individuals from the registry;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identify all reported incidents of discrimination for requesting exclusion from the registry or for using an exemption for a required immunization;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include department recommendations about the best way to use, and communicate with, local registries in the state;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include ways to increase provider participation in the registry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by county on the immunization accessibility of residents by age, race, and geographic location, provided the information does not personally identify any individual;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assess disparities in access to immunizations by age, race, and geographic location, including an assessment of immunization accessibility in each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estimated economic benefit to this state of reducing disparities in immunization accessibility;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recommendations for reducing disparities in immunization accessibility;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recommendations for legislative action to increase immunization rates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