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Criminal Justice; April</w:t>
      </w:r>
      <w:r xml:space="preserve">
        <w:t> </w:t>
      </w:r>
      <w:r>
        <w:t xml:space="preserve">21,</w:t>
      </w:r>
      <w:r xml:space="preserve">
        <w:t> </w:t>
      </w:r>
      <w:r>
        <w:t xml:space="preserve">2021, reported favorably by the following vote:</w:t>
      </w:r>
      <w:r>
        <w:t xml:space="preserve"> </w:t>
      </w:r>
      <w:r>
        <w:t xml:space="preserve"> </w:t>
      </w:r>
      <w:r>
        <w:t xml:space="preserve">Yeas 6,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adoption by law enforcement agencies of a mental health leave policy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A-1 to read as follows:</w:t>
      </w:r>
    </w:p>
    <w:p w:rsidR="003F3435" w:rsidRDefault="0032493E">
      <w:pPr>
        <w:spacing w:line="480" w:lineRule="auto"/>
        <w:jc w:val="center"/>
      </w:pPr>
      <w:r>
        <w:rPr>
          <w:u w:val="single"/>
        </w:rPr>
        <w:t xml:space="preserve">SUBCHAPTER A-1.  MENTAL HEALTH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614.015.</w:t>
      </w:r>
      <w:r>
        <w:rPr>
          <w:u w:val="single"/>
        </w:rPr>
        <w:t xml:space="preserve"> </w:t>
      </w:r>
      <w:r>
        <w:rPr>
          <w:u w:val="single"/>
        </w:rPr>
        <w:t xml:space="preserve"> </w:t>
      </w:r>
      <w:r>
        <w:rPr>
          <w:u w:val="single"/>
        </w:rPr>
        <w:t xml:space="preserve">MENTAL HEALTH LEAVE FOR PEACE OFFICERS.  (a)  In this section,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develop and adopt a policy allowing the use of mental health leave by the peace officers employed by the agency who experience a traumatic event in the scope of that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mental health leave policy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clear and objective guidelines establishing the circumstances under which a peace officer is granted mental health leave and may use mental health leave;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 a peace officer to mental health leave without a deduction in salary or other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enumerate the number of mental health leave days available to a peace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detail the level of anonymity for a peace officer who takes mental health leave.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mental health leave policy adopted under this section may provide a list of mental health services available to peace officers in the area of the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each law enforcement agency shall develop the mental health leave policy required by Section 614.015,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