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87R7829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1360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of a state or federal investigation of alleged criminal conduct by a student or a faculty member or other instructor of a public or private institution of higher education in this state;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51.956.</w:t>
      </w:r>
      <w:r>
        <w:rPr>
          <w:u w:val="single"/>
        </w:rPr>
        <w:t xml:space="preserve"> </w:t>
      </w:r>
      <w:r>
        <w:rPr>
          <w:u w:val="single"/>
        </w:rPr>
        <w:t xml:space="preserve"> </w:t>
      </w:r>
      <w:r>
        <w:rPr>
          <w:u w:val="single"/>
        </w:rPr>
        <w:t xml:space="preserve">NOTICE OF INVESTIGATION OF CERTAIN CRIMINAL CONDUCT.  (a)  This section applies only to an investigation conducted by a state or federal law enforcement agency with respect to an allegation of criminal conduct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committed by a student or a faculty member or other instructor of a public or private institution of higher education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poses a threat to the security of the institution, of any political subdivision in which the institution is located, or of this state or 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criminal conduct poses a threat to the security of a public or private institution of higher education, of a political subdivision of this state, or of this state or nation if the applicable conduct contains elements of any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theft of intellectual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unauthorized access to sensitive or protected information such as intellectual property, including a breach of computer security for purposes of gaining access to that information;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espionage conducted on behalf of a foreign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administrator or department head of a public or private institution of higher education who learns of an investigation described by Subsection (a) involving alleged criminal conduct by a student or faculty member or other instructor of the institution shall promptly report that information to the office of the president of the institution.  The president shall promptly report that information to the secretary and presiding officer of the governing board of the institution.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presiding officer of the governing board of a public or private institution of higher education is notified or otherwise learns of an investigation as described by Subsection (c), the governing board shall provide written notice of that investigation to the lieutenant governor, the speaker of the house of representatives, and each standing committee of the legislature with primary jurisdiction over higher education matters.  The written notice must contain any information about the investigation that is known by the presiding officer at the time of the notice, including the name of the investigating agency and, if known: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targeted individual's citizenship or permanent resident status;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degree of access of the individual to intellectual property or to other sensitive or protected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link or affiliation of the individual to or with a foreign government;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nature and possible seriousness of the allegation.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name of a targeted individual must be redacted for purposes of any notice provided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public or private institution of higher education whose governing board fails to timely provide the written notice as required by Subsection (d) is liable to the state for a civil penalty in an amount not to exceed $20,000 for each violation.</w:t>
      </w:r>
      <w:r>
        <w:rPr>
          <w:u w:val="single"/>
        </w:rPr>
        <w:t xml:space="preserve"> </w:t>
      </w:r>
      <w:r>
        <w:rPr>
          <w:u w:val="single"/>
        </w:rPr>
        <w:t xml:space="preserve"> </w:t>
      </w:r>
      <w:r>
        <w:rPr>
          <w:u w:val="single"/>
        </w:rPr>
        <w:t xml:space="preserve">The attorney general may investigate any alleged violation of this section and may sue to collect the civil penalty described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