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Taylor</w:t>
      </w:r>
      <w:r xml:space="preserve">
        <w:tab wTab="150" tlc="none" cTlc="0"/>
      </w:r>
      <w:r>
        <w:t xml:space="preserve">S.B.</w:t>
      </w:r>
      <w:r xml:space="preserve">
        <w:t> </w:t>
      </w:r>
      <w:r>
        <w:t xml:space="preserve">No.</w:t>
      </w:r>
      <w:r xml:space="preserve">
        <w:t> </w:t>
      </w:r>
      <w:r>
        <w:t xml:space="preserve">1360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Higher Education;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5,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1360</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notice of certain criminal conduct by a student or employee of a public or private institution of higher education in this state;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51.956.</w:t>
      </w:r>
      <w:r>
        <w:rPr>
          <w:u w:val="single"/>
        </w:rPr>
        <w:t xml:space="preserve"> </w:t>
      </w:r>
      <w:r>
        <w:rPr>
          <w:u w:val="single"/>
        </w:rPr>
        <w:t xml:space="preserve"> </w:t>
      </w:r>
      <w:r>
        <w:rPr>
          <w:u w:val="single"/>
        </w:rPr>
        <w:t xml:space="preserve">NOTICE OF CERTAIN CRIMINAL CONDUCT.  (a)  This section applies only to criminal conduct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committed or alleged to have been committed by a student or employee of a public or private institution of higher education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poses or could have posed a threat to the security of the institution, of any political subdivision in which the institution is located, or of this state or 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criminal conduct poses or could have posed a threat to the security of a public or private institution of higher education, of a political subdivision of this state, or of this state or nation if the applicable conduct contains elements of any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theft of sensitive or protected intellectual capital;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unauthorized access to sensitive or protected information such as intellectual capital, including a breach of computer security for purposes of gaining access to that information;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espionage conducted on behalf of a foreign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administrator or department head of a public or private institution of higher education who learns of a conviction, indictment or other formal criminal charge, or incident of evasion or abscondment occurring with respect to criminal conduct to which this section applies shall promptly report that information to the office of the president of the institution.  The president shall promptly report that information to the secretary and presiding officer of the governing board of the institution.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president of a public or private institution of higher education is notified or otherwise learns of information described by Subsection (c), the president shall provide written notice regarding that information to the governor, the lieutenant governor, the speaker of the house of representatives, and the presiding officer of each standing committee of the legislature with primary jurisdiction over higher education matters.  Subject to Subsection (e), the written notice must contain any details about the information that are known by the president at the time of the notice, including, if known: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degree of access of the specified individual to sensitive or protected intellectual capital or to other sensitive or protected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link or affiliation of the individual to or with a foreign government or an organization affiliated with a foreign government;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nature and seriousness of the applicable conduct.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information required under Subsection (d) may be limited or redacted at the request of an appropriate investigative, prosecutorial, or judicial entity if that entity determines that the disclosure of that information would impair any pending judicial proceeding, including an appellate proceeding. </w:t>
      </w:r>
      <w:r>
        <w:rPr>
          <w:u w:val="single"/>
        </w:rPr>
        <w:t xml:space="preserve"> </w:t>
      </w:r>
      <w:r>
        <w:rPr>
          <w:u w:val="single"/>
        </w:rPr>
        <w:t xml:space="preserve">The name of a suspected individual who has not yet been convicted or charged must be redacted for purposes of any notice provided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notice is confidential and not subject to disclosure under Chapter 552,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public or private institution of higher education whose president fails to timely provide the written notice as required by Subsection (d) is liable to the state for a civil penalty in an amount not to exceed $20,000 for each violation.</w:t>
      </w:r>
      <w:r>
        <w:rPr>
          <w:u w:val="single"/>
        </w:rPr>
        <w:t xml:space="preserve"> </w:t>
      </w:r>
      <w:r>
        <w:rPr>
          <w:u w:val="single"/>
        </w:rPr>
        <w:t xml:space="preserve"> </w:t>
      </w:r>
      <w:r>
        <w:rPr>
          <w:u w:val="single"/>
        </w:rPr>
        <w:t xml:space="preserve">The attorney general may investigate any alleged violation of this section and may sue to collect the civil penalty described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