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property and casualty insurance and insurance for certain large risks.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with respect to a line of insurance for which the commissioner has temporarily reinstated the requirements for rate and form filings under Section 2251.0031(d) or 2301.0031(d), Subsections (a)(1) and (b) do not apply to an insurance policy issued by an eligible surplus lines insurer for any line of the kinds of insurance described by Sections 2251.0031(a) and 2301.0031(a) or exempted under Section 2251.0031(c) or 2301.0031(c).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2251.0031, this</w:t>
      </w:r>
      <w:r>
        <w:t xml:space="preserve"> [</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2251.004;</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2251, Insurance Code, is amended by adding Section 2251.0031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2251.0031.</w:t>
      </w:r>
      <w:r>
        <w:rPr>
          <w:u w:val="single"/>
        </w:rPr>
        <w:t xml:space="preserve"> </w:t>
      </w:r>
      <w:r>
        <w:rPr>
          <w:u w:val="single"/>
        </w:rPr>
        <w:t xml:space="preserve"> </w:t>
      </w:r>
      <w:r>
        <w:rPr>
          <w:u w:val="single"/>
        </w:rPr>
        <w:t xml:space="preserve">EXCEPTIONS FOR CERTAIN LINES.  (a)  Except as provided by Subsection (d), Subchapter C does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w:t>
      </w:r>
      <w:r>
        <w:rPr>
          <w:u w:val="single"/>
        </w:rPr>
        <w:t xml:space="preserve"> </w:t>
      </w:r>
      <w:r>
        <w:rPr>
          <w:u w:val="single"/>
        </w:rPr>
        <w:t xml:space="preserve">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rate filing requirements of Subchapter C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require rate filings under Subchapter C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2251.101,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rates for use with an insured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insured property values of $5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annual gross revenues of $10 million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2301.0031, this</w:t>
      </w:r>
      <w:r xml:space="preserve">
        <w:t> </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2301.005;</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2301, Insurance Code, is amended by adding Section 2301.0031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2301.0031.</w:t>
      </w:r>
      <w:r>
        <w:rPr>
          <w:u w:val="single"/>
        </w:rPr>
        <w:t xml:space="preserve"> </w:t>
      </w:r>
      <w:r>
        <w:rPr>
          <w:u w:val="single"/>
        </w:rPr>
        <w:t xml:space="preserve"> </w:t>
      </w:r>
      <w:r>
        <w:rPr>
          <w:u w:val="single"/>
        </w:rPr>
        <w:t xml:space="preserve">EXCEPTIONS FOR CERTAIN LINES.  (a)  Except as provided by Subsection (d), Sections 2301.006, 2301.007(a) and (b), and 2301.008 do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form filing requirements of this subchapter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impose the requirements of Sections 2301.006, 2301.007(a) and (b), and 2301.008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insurance policy that is delivered, issued for delivery, or renewed on or after September 1, 2021.  An insurance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