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1371</w:t>
      </w:r>
    </w:p>
    <w:p w:rsidR="003F3435" w:rsidRDefault="0032493E">
      <w:pPr>
        <w:ind w:firstLine="720"/>
        <w:jc w:val="both"/>
      </w:pPr>
      <w:r>
        <w:t xml:space="preserve">(Murphy)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incidents of sexual harassment, sexual assault, dating violence, or stalking at certain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51.252,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w:t>
      </w:r>
      <w:r>
        <w:rPr>
          <w:u w:val="single"/>
        </w:rPr>
        <w:t xml:space="preserve">or (c-1)</w:t>
      </w:r>
      <w:r>
        <w:t xml:space="preserve">,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campus peace officer employed by a postsecondary educational institution who receives information regarding an incident described by Subsection (a) from an alleged victim who chooses to complete a pseudonym form described by Article 58.102, 58.152, 58.202, or 58.252, Code of Criminal Procedure, shall, in making a report under this section, state only the type of incident reported and may not include the victim's name, phone number, address, or other information that may directly or indirectly reveal the victim's identity.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51.256(c),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Nothing in this section may be construed as prohibiting a victim from making a report to a law enforcement agency using </w:t>
      </w:r>
      <w:r>
        <w:rPr>
          <w:u w:val="single"/>
        </w:rPr>
        <w:t xml:space="preserve">a</w:t>
      </w:r>
      <w:r>
        <w:t xml:space="preserve"> [</w:t>
      </w:r>
      <w:r>
        <w:rPr>
          <w:strike/>
        </w:rPr>
        <w:t xml:space="preserve">the</w:t>
      </w:r>
      <w:r>
        <w:t xml:space="preserve">] pseudonym form described by Article </w:t>
      </w:r>
      <w:r>
        <w:rPr>
          <w:u w:val="single"/>
        </w:rPr>
        <w:t xml:space="preserve">58.102, 58.152, 58.202, or 58.252</w:t>
      </w:r>
      <w:r>
        <w:t xml:space="preserve"> [</w:t>
      </w:r>
      <w:r>
        <w:rPr>
          <w:strike/>
        </w:rPr>
        <w:t xml:space="preserve">57.02</w:t>
      </w:r>
      <w:r>
        <w:t xml:space="preserve">],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