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87R13746 KJE-F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w:t>
      </w:r>
      <w:r xml:space="preserve">
        <w:tab wTab="150" tlc="none" cTlc="0"/>
      </w:r>
      <w:r>
        <w:t xml:space="preserve">S.B.</w:t>
      </w:r>
      <w:r xml:space="preserve">
        <w:t> </w:t>
      </w:r>
      <w:r>
        <w:t xml:space="preserve">No.</w:t>
      </w:r>
      <w:r xml:space="preserve">
        <w:t> </w:t>
      </w:r>
      <w:r>
        <w:t xml:space="preserve">1371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reporting of certain incidents of sexual harassment, sexual assault, dating violence, or stalking at certain public or private institutions of higher education.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51.252, Education Code, is amended by amending Subsection (b) and adding Subsection (c-1)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(c) </w:t>
      </w:r>
      <w:r>
        <w:rPr>
          <w:u w:val="single"/>
        </w:rPr>
        <w:t xml:space="preserve">or (c-1)</w:t>
      </w:r>
      <w:r>
        <w:t xml:space="preserve">, the report must include all information concerning the incident known to the reporting person that is relevant to the investigation and, if applicable, redress of the incident, including whether an alleged victim has expressed a desire for confidentiality in reporting the incident.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A campus peace officer employed by a postsecondary educational institution who receives information regarding an incident described by Subsection (a) from an alleged victim who chooses to make a report to the officer using the pseudonym form described by Article 58.102, Code of Criminal Procedure, shall, in making a report under this section, state only the type of incident reported and may not include the victim's name, phone number, address, or other information that may directly or indirectly reveal the victim's identity.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