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87R24104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1372</w:t>
      </w:r>
    </w:p>
    <w:p w:rsidR="003F3435" w:rsidRDefault="0032493E">
      <w:pPr>
        <w:ind w:firstLine="720"/>
        <w:jc w:val="both"/>
      </w:pPr>
      <w:r>
        <w:t xml:space="preserve">(Murphy)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1372:</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C.S.S.B.</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and reporting of the performance of certain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802.002(c)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a defined contribution plan is exempt from Sections 802.101, 802.1012, 802.1014, 802.103, 802.104, </w:t>
      </w:r>
      <w:r>
        <w:rPr>
          <w:u w:val="single"/>
        </w:rPr>
        <w:t xml:space="preserve">802.110,</w:t>
      </w:r>
      <w:r>
        <w:t xml:space="preserve"> and 802.202(d).  This subsection may not be construed to exempt any plan from Section 802.105 or 802.106(h).</w:t>
      </w:r>
    </w:p>
    <w:p w:rsidR="003F3435" w:rsidRDefault="0032493E">
      <w:pPr>
        <w:spacing w:line="480" w:lineRule="auto"/>
        <w:ind w:firstLine="720"/>
        <w:jc w:val="both"/>
      </w:pPr>
      <w:r>
        <w:t xml:space="preserve">(d)</w:t>
      </w:r>
      <w:r xml:space="preserve">
        <w:t> </w:t>
      </w:r>
      <w:r xml:space="preserve">
        <w:t> </w:t>
      </w:r>
      <w:r>
        <w:t xml:space="preserve">Notwithstanding any other law, a retirement system that is organized under the Texas Local Fire Fighters Retirement Act (Article 6243e, Vernon's Texas Civil Statutes) for a fire department consisting exclusively of volunteers as defined by that Act is exempt from Sections 802.101, 802.1012, 802.1014, 802.102, 802.103, 802.104, </w:t>
      </w:r>
      <w:r>
        <w:rPr>
          <w:u w:val="single"/>
        </w:rPr>
        <w:t xml:space="preserve">802.110,</w:t>
      </w:r>
      <w:r>
        <w:t xml:space="preserve"> and 802.202(d).  This subsection may not be construed to exempt any plan from Section 802.105 or 802.106(h).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802.109, Government Code, is amended by amending Subsections (a), (d), (e), (f), and (h) and adding Subsection (e-1)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and subject to Subsections (c) and (k), a public retirement system shall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Each evaluation must include:</w:t>
      </w:r>
    </w:p>
    <w:p w:rsidR="003F3435" w:rsidRDefault="0032493E">
      <w:pPr>
        <w:spacing w:line="480" w:lineRule="auto"/>
        <w:ind w:firstLine="1440"/>
        <w:jc w:val="both"/>
      </w:pPr>
      <w:r>
        <w:t xml:space="preserve">(1)</w:t>
      </w:r>
      <w:r xml:space="preserve">
        <w:t> </w:t>
      </w:r>
      <w:r xml:space="preserve">
        <w:t> </w:t>
      </w:r>
      <w:r>
        <w:rPr>
          <w:u w:val="single"/>
        </w:rPr>
        <w:t xml:space="preserve">a summary of the independent firm's experience in evaluating institutional investment practices and performance and a statement that the firm's experience meets the experience required by this subsection;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the nature of any existing relationship between the independent firm and the public retirement system and confirming that the firm and any related entity are not involved in directly or indirectly managing the investments of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types of remuneration received by the independent firm from sources other than the public retirement system for services provided to the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identifying any potential conflict of interest or any appearance of a conflict of interest that could impact the analysis included in the evaluation due to an existing relationship between the independent firm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retirement system;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current or former member of the governing body of the system;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explanation of the firm's determination regarding whether to include a recommendation for each of the following evaluated matters:</w:t>
      </w:r>
    </w:p>
    <w:p w:rsidR="003F3435" w:rsidRDefault="0032493E">
      <w:pPr>
        <w:spacing w:line="480" w:lineRule="auto"/>
        <w:ind w:firstLine="2160"/>
        <w:jc w:val="both"/>
      </w:pPr>
      <w:r>
        <w:rPr>
          <w:u w:val="single"/>
        </w:rPr>
        <w:t xml:space="preserve">(A)</w:t>
      </w:r>
      <w:r xml:space="preserve">
        <w:t> </w:t>
      </w:r>
      <w:r xml:space="preserve">
        <w:t> </w:t>
      </w:r>
      <w:r>
        <w:t xml:space="preserve">an analysis of any investment policy or strategic investment plan adopted by the retirement system and the retirement system's compliance with that policy or plan;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detailed review of the retirement system's investment asset allocation, including: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process for determining target allocations;</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expected risk and expected rate of return, categorized by asset class;</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the appropriateness of selection and valuation methodologies of alternative and illiquid assets; 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future cash flow and liquidity needs;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review of the appropriateness of investment fees and commissions paid by the retirement system;</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 review of the retirement system's governance processes related to investment activities, including investment decision-making processes, delegation of investment authority, and board investment expertise and education;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review of the retirement system's investment manager selection and monitoring process.</w:t>
      </w:r>
    </w:p>
    <w:p w:rsidR="003F3435" w:rsidRDefault="0032493E">
      <w:pPr>
        <w:spacing w:line="480" w:lineRule="auto"/>
        <w:ind w:firstLine="720"/>
        <w:jc w:val="both"/>
      </w:pPr>
      <w:r>
        <w:t xml:space="preserve">(d)</w:t>
      </w:r>
      <w:r xml:space="preserve">
        <w:t> </w:t>
      </w:r>
      <w:r xml:space="preserve">
        <w:t> </w:t>
      </w:r>
      <w:r>
        <w:t xml:space="preserve">A public retirement system shall conduct the evaluation described by Subsection (a):</w:t>
      </w:r>
    </w:p>
    <w:p w:rsidR="003F3435" w:rsidRDefault="0032493E">
      <w:pPr>
        <w:spacing w:line="480" w:lineRule="auto"/>
        <w:ind w:firstLine="1440"/>
        <w:jc w:val="both"/>
      </w:pPr>
      <w:r>
        <w:t xml:space="preserve">(1)</w:t>
      </w:r>
      <w:r xml:space="preserve">
        <w:t> </w:t>
      </w:r>
      <w:r xml:space="preserve">
        <w:t> </w:t>
      </w:r>
      <w:r>
        <w:t xml:space="preserve">once every three years, if the </w:t>
      </w:r>
      <w:r>
        <w:rPr>
          <w:u w:val="single"/>
        </w:rPr>
        <w:t xml:space="preserve">total assets of the</w:t>
      </w:r>
      <w:r>
        <w:t xml:space="preserve"> retirement system [</w:t>
      </w:r>
      <w:r>
        <w:rPr>
          <w:strike/>
        </w:rPr>
        <w:t xml:space="preserve">has total assets the book value of which,</w:t>
      </w:r>
      <w:r>
        <w:t xml:space="preserve">] as of the last day of the </w:t>
      </w:r>
      <w:r>
        <w:rPr>
          <w:u w:val="single"/>
        </w:rPr>
        <w:t xml:space="preserve">preceding</w:t>
      </w:r>
      <w:r>
        <w:t xml:space="preserve"> [</w:t>
      </w:r>
      <w:r>
        <w:rPr>
          <w:strike/>
        </w:rPr>
        <w:t xml:space="preserve">last</w:t>
      </w:r>
      <w:r>
        <w:t xml:space="preserve">] fiscal year </w:t>
      </w:r>
      <w:r>
        <w:rPr>
          <w:u w:val="single"/>
        </w:rPr>
        <w:t xml:space="preserve">were</w:t>
      </w:r>
      <w:r>
        <w:t xml:space="preserve"> [</w:t>
      </w:r>
      <w:r>
        <w:rPr>
          <w:strike/>
        </w:rPr>
        <w:t xml:space="preserve">considered in an evaluation under this section, was</w:t>
      </w:r>
      <w:r>
        <w:t xml:space="preserve">] at least $100 million; or</w:t>
      </w:r>
    </w:p>
    <w:p w:rsidR="003F3435" w:rsidRDefault="0032493E">
      <w:pPr>
        <w:spacing w:line="480" w:lineRule="auto"/>
        <w:ind w:firstLine="1440"/>
        <w:jc w:val="both"/>
      </w:pPr>
      <w:r>
        <w:t xml:space="preserve">(2)</w:t>
      </w:r>
      <w:r xml:space="preserve">
        <w:t> </w:t>
      </w:r>
      <w:r xml:space="preserve">
        <w:t> </w:t>
      </w:r>
      <w:r>
        <w:t xml:space="preserve">once every six years, if the </w:t>
      </w:r>
      <w:r>
        <w:rPr>
          <w:u w:val="single"/>
        </w:rPr>
        <w:t xml:space="preserve">total assets of the</w:t>
      </w:r>
      <w:r>
        <w:t xml:space="preserve"> retirement system [</w:t>
      </w:r>
      <w:r>
        <w:rPr>
          <w:strike/>
        </w:rPr>
        <w:t xml:space="preserve">has total assets the book value of which,</w:t>
      </w:r>
      <w:r>
        <w:t xml:space="preserve">] as of the last day of the </w:t>
      </w:r>
      <w:r>
        <w:rPr>
          <w:u w:val="single"/>
        </w:rPr>
        <w:t xml:space="preserve">preceding</w:t>
      </w:r>
      <w:r>
        <w:t xml:space="preserve"> [</w:t>
      </w:r>
      <w:r>
        <w:rPr>
          <w:strike/>
        </w:rPr>
        <w:t xml:space="preserve">last</w:t>
      </w:r>
      <w:r>
        <w:t xml:space="preserve">] fiscal year </w:t>
      </w:r>
      <w:r>
        <w:rPr>
          <w:u w:val="single"/>
        </w:rPr>
        <w:t xml:space="preserve">were</w:t>
      </w:r>
      <w:r>
        <w:t xml:space="preserve"> [</w:t>
      </w:r>
      <w:r>
        <w:rPr>
          <w:strike/>
        </w:rPr>
        <w:t xml:space="preserve">considered in an evaluation under this section, was</w:t>
      </w:r>
      <w:r>
        <w:t xml:space="preserve">] at least $30 million and less than $100 million.</w:t>
      </w:r>
    </w:p>
    <w:p w:rsidR="003F3435" w:rsidRDefault="0032493E">
      <w:pPr>
        <w:spacing w:line="480" w:lineRule="auto"/>
        <w:ind w:firstLine="720"/>
        <w:jc w:val="both"/>
      </w:pPr>
      <w:r>
        <w:t xml:space="preserve">(e)</w:t>
      </w:r>
      <w:r xml:space="preserve">
        <w:t> </w:t>
      </w:r>
      <w:r xml:space="preserve">
        <w:t> </w:t>
      </w:r>
      <w:r>
        <w:t xml:space="preserve">A public retirement system is not required to conduct the evaluation described by Subsection (a) if the </w:t>
      </w:r>
      <w:r>
        <w:rPr>
          <w:u w:val="single"/>
        </w:rPr>
        <w:t xml:space="preserve">total assets of the</w:t>
      </w:r>
      <w:r>
        <w:t xml:space="preserve"> retirement system [</w:t>
      </w:r>
      <w:r>
        <w:rPr>
          <w:strike/>
        </w:rPr>
        <w:t xml:space="preserve">has total assets the book value of which,</w:t>
      </w:r>
      <w:r>
        <w:t xml:space="preserve">] as of the last day of the preceding fiscal year </w:t>
      </w:r>
      <w:r>
        <w:rPr>
          <w:u w:val="single"/>
        </w:rPr>
        <w:t xml:space="preserve">were</w:t>
      </w:r>
      <w:r>
        <w:t xml:space="preserve">[</w:t>
      </w:r>
      <w:r>
        <w:rPr>
          <w:strike/>
        </w:rPr>
        <w:t xml:space="preserve">, was</w:t>
      </w:r>
      <w:r>
        <w:t xml:space="preserve">] less than $30 million.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 later than the 30th day after the date an independent firm completes an evaluation described by Subsection (a), the independent firm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public retirement system for purposes of discussion and clarification a substantially completed preliminary draft of the evaluation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in writing that the system, on or before the 30th day after the date the system receives the preliminary draft, submit to the firm: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action taken or expected to be taken in response to a recommendation made in the evaluation;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written response of the system that the system wants to accompany the final evaluation report.</w:t>
      </w:r>
    </w:p>
    <w:p w:rsidR="003F3435" w:rsidRDefault="0032493E">
      <w:pPr>
        <w:spacing w:line="480" w:lineRule="auto"/>
        <w:ind w:firstLine="720"/>
        <w:jc w:val="both"/>
      </w:pPr>
      <w:r>
        <w:t xml:space="preserve">(f)</w:t>
      </w:r>
      <w:r xml:space="preserve">
        <w:t> </w:t>
      </w:r>
      <w:r xml:space="preserve">
        <w:t> </w:t>
      </w:r>
      <w:r>
        <w:rPr>
          <w:u w:val="single"/>
        </w:rPr>
        <w:t xml:space="preserve">The independent firm shall file the final evaluation report, including the evaluation results and any response received from the public retirement system,</w:t>
      </w:r>
      <w:r>
        <w:t xml:space="preserve"> [</w:t>
      </w:r>
      <w:r>
        <w:rPr>
          <w:strike/>
        </w:rPr>
        <w:t xml:space="preserve">A report of an evaluation under this section must be filed</w:t>
      </w:r>
      <w:r>
        <w:t xml:space="preserve">] with the governing body of the [</w:t>
      </w:r>
      <w:r>
        <w:rPr>
          <w:strike/>
        </w:rPr>
        <w:t xml:space="preserve">public retirement</w:t>
      </w:r>
      <w:r>
        <w:t xml:space="preserve">] system</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the 31st day after the date on which the preliminary draft is submitted to the system; and</w:t>
      </w:r>
    </w:p>
    <w:p w:rsidR="003F3435" w:rsidRDefault="0032493E">
      <w:pPr>
        <w:spacing w:line="480" w:lineRule="auto"/>
        <w:ind w:firstLine="1440"/>
        <w:jc w:val="both"/>
      </w:pPr>
      <w:r>
        <w:rPr>
          <w:u w:val="single"/>
        </w:rPr>
        <w:t xml:space="preserve">(2)</w:t>
      </w:r>
      <w:r xml:space="preserve">
        <w:t> </w:t>
      </w:r>
      <w:r xml:space="preserve">
        <w:t> </w:t>
      </w:r>
      <w:r>
        <w:t xml:space="preserve">not later than </w:t>
      </w:r>
      <w:r>
        <w:rPr>
          <w:u w:val="single"/>
        </w:rPr>
        <w:t xml:space="preserve">the 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on which the preliminary draft is submitted to the system; or</w:t>
      </w:r>
    </w:p>
    <w:p w:rsidR="003F3435" w:rsidRDefault="0032493E">
      <w:pPr>
        <w:spacing w:line="480" w:lineRule="auto"/>
        <w:ind w:firstLine="2160"/>
        <w:jc w:val="both"/>
      </w:pPr>
      <w:r>
        <w:rPr>
          <w:u w:val="single"/>
        </w:rPr>
        <w:t xml:space="preserve">(B)</w:t>
      </w:r>
      <w:r xml:space="preserve">
        <w:t> </w:t>
      </w:r>
      <w:r xml:space="preserve">
        <w:t> </w:t>
      </w:r>
      <w:r>
        <w:t xml:space="preserve">May 1 </w:t>
      </w:r>
      <w:r>
        <w:rPr>
          <w:u w:val="single"/>
        </w:rPr>
        <w:t xml:space="preserve">in the</w:t>
      </w:r>
      <w:r>
        <w:t xml:space="preserve"> [</w:t>
      </w:r>
      <w:r>
        <w:rPr>
          <w:strike/>
        </w:rPr>
        <w:t xml:space="preserve">of each</w:t>
      </w:r>
      <w:r>
        <w:t xml:space="preserve">] year following the year in which the system is evaluated under Subsection </w:t>
      </w:r>
      <w:r>
        <w:rPr>
          <w:u w:val="single"/>
        </w:rPr>
        <w:t xml:space="preserve">(a)</w:t>
      </w:r>
      <w:r>
        <w:t xml:space="preserve"> [</w:t>
      </w:r>
      <w:r>
        <w:rPr>
          <w:strike/>
        </w:rPr>
        <w:t xml:space="preserve">(d)</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A governmental entity that is the employer of active members of a public retirement system evaluated under Subsection (a) may pay all or part of the costs of the evaluation.  The</w:t>
      </w:r>
      <w:r>
        <w:t xml:space="preserve"> [</w:t>
      </w:r>
      <w:r>
        <w:rPr>
          <w:strike/>
        </w:rPr>
        <w:t xml:space="preserve">A</w:t>
      </w:r>
      <w:r>
        <w:t xml:space="preserve">] public retirement system shall pay </w:t>
      </w:r>
      <w:r>
        <w:rPr>
          <w:u w:val="single"/>
        </w:rPr>
        <w:t xml:space="preserve">any remaining unpaid</w:t>
      </w:r>
      <w:r>
        <w:t xml:space="preserve"> [</w:t>
      </w:r>
      <w:r>
        <w:rPr>
          <w:strike/>
        </w:rPr>
        <w:t xml:space="preserve">the</w:t>
      </w:r>
      <w:r>
        <w:t xml:space="preserve">] costs of </w:t>
      </w:r>
      <w:r>
        <w:rPr>
          <w:u w:val="single"/>
        </w:rPr>
        <w:t xml:space="preserve">the</w:t>
      </w:r>
      <w:r>
        <w:t xml:space="preserve"> [</w:t>
      </w:r>
      <w:r>
        <w:rPr>
          <w:strike/>
        </w:rPr>
        <w:t xml:space="preserve">each</w:t>
      </w:r>
      <w:r>
        <w:t xml:space="preserve">] evaluation [</w:t>
      </w:r>
      <w:r>
        <w:rPr>
          <w:strike/>
        </w:rPr>
        <w:t xml:space="preserve">of the system under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802, Government Code, is amended by adding Section 802.110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802.110.</w:t>
      </w:r>
      <w:r>
        <w:rPr>
          <w:u w:val="single"/>
        </w:rPr>
        <w:t xml:space="preserve"> </w:t>
      </w:r>
      <w:r>
        <w:rPr>
          <w:u w:val="single"/>
        </w:rPr>
        <w:t xml:space="preserve"> </w:t>
      </w:r>
      <w:r>
        <w:rPr>
          <w:u w:val="single"/>
        </w:rPr>
        <w:t xml:space="preserve">GRADING PROGRAM.  (a)  The board by rule shall establish a program under which the board evaluates each public retirement system and assigns a numerical grade to the system based on the system's performance in carrying out the system's duties under the laws of this state, including the system's procedures and capacity for satisfying accrued obligations.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established under this section must include the adoption of a rating schedule for use in the evaluation and grading of each public retirement system.  The rating schedule must be based on a point system that measures, in accordance with the board's funding guidelines and nationally accepted standards for the operation of a public retirement system, a system's: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using metrics such as the system's funding policy under Section 802.2011, amortization period for unfunded actuarial accrued liability, funding ratio, as that term is defined by Section 802.2011, cash flow, and contribution sufficiency;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investment program using metrics such as a comparison of actual returns to assumed returns, risk-adjusted returns, and investment fee benchmarking;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governance using metrics such as the system's compliance with training requirements under Section 801.211 for trustees and system administrators, board member expertise, and engagement of the associated governmental entity, as that term is defined by Section 802.1012.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rating schedule adopted under Subsection (b) must account for a public retirement system's efforts to measure and reduce financial and other risks to the system by implementing practices such as stress testing, scenario analysis, and asset-liability studies.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802.109, Government Code, as amended by this Act, applies only to an evaluation commenced on or after the effective date of this Act.  An evaluation commenced before the effective date of this Act is governed by the law in effect on the date the evaluation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