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87R2373 JTS-D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1383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counties to authorize the operation of a golf cart or off-highway vehicle on certain roads.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551.404(c),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Subsection (b) applies only to a county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borders or contains a portion of the Red River;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borders or contains a portion of the Guadalupe River and contains a part of a barrier island that</w:t>
      </w:r>
      <w:r>
        <w:t xml:space="preserve">] borders the Gulf of Mexico </w:t>
      </w:r>
      <w:r>
        <w:rPr>
          <w:u w:val="single"/>
        </w:rPr>
        <w:t xml:space="preserve">and has a population of less than 360,000</w:t>
      </w:r>
      <w:r>
        <w:t xml:space="preserve">[</w:t>
      </w:r>
      <w:r>
        <w:rPr>
          <w:strike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is adjacent to a county described by Subdivision (2) and: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has a population of less than 37,000;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contains a part of a barrier island or peninsula that borders the Gulf of Mexico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551A.053(c),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Subsection (b) applies only to a county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borders or contains a portion of the Red River;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borders or contains a portion of the Guadalupe River and contains a part of a barrier island that</w:t>
      </w:r>
      <w:r>
        <w:t xml:space="preserve">] borders the Gulf of Mexico </w:t>
      </w:r>
      <w:r>
        <w:rPr>
          <w:u w:val="single"/>
        </w:rPr>
        <w:t xml:space="preserve">and has a population of less than 360,000</w:t>
      </w:r>
      <w:r>
        <w:t xml:space="preserve">[</w:t>
      </w:r>
      <w:r>
        <w:rPr>
          <w:strike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is adjacent to a county described by Subdivision (2) and: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has a population of less than 37,000;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contains a part of a barrier island or peninsula that borders the Gulf of Mexico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