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Miles, West</w:t>
      </w:r>
      <w:r xml:space="preserve">
        <w:tab wTab="150" tlc="none" cTlc="0"/>
      </w:r>
      <w:r>
        <w:t xml:space="preserve">S.B.</w:t>
      </w:r>
      <w:r xml:space="preserve">
        <w:t> </w:t>
      </w:r>
      <w:r>
        <w:t xml:space="preserve">No.</w:t>
      </w:r>
      <w:r xml:space="preserve">
        <w:t> </w:t>
      </w:r>
      <w:r>
        <w:t xml:space="preserve">1385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1385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compensation and professional representation of student athletes participating in intercollegiate athletic programs at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and declares the following:</w:t>
      </w:r>
    </w:p>
    <w:p w:rsidR="003F3435" w:rsidRDefault="0032493E">
      <w:pPr>
        <w:spacing w:line="480" w:lineRule="auto"/>
        <w:ind w:firstLine="1440"/>
        <w:jc w:val="both"/>
      </w:pPr>
      <w:r>
        <w:t xml:space="preserve">(1)</w:t>
      </w:r>
      <w:r xml:space="preserve">
        <w:t> </w:t>
      </w:r>
      <w:r xml:space="preserve">
        <w:t> </w:t>
      </w:r>
      <w:r>
        <w:t xml:space="preserve">intercollegiate athletics are an essential part of the fabric of this state;</w:t>
      </w:r>
    </w:p>
    <w:p w:rsidR="003F3435" w:rsidRDefault="0032493E">
      <w:pPr>
        <w:spacing w:line="480" w:lineRule="auto"/>
        <w:ind w:firstLine="1440"/>
        <w:jc w:val="both"/>
      </w:pPr>
      <w:r>
        <w:t xml:space="preserve">(2)</w:t>
      </w:r>
      <w:r xml:space="preserve">
        <w:t> </w:t>
      </w:r>
      <w:r xml:space="preserve">
        <w:t> </w:t>
      </w:r>
      <w:r>
        <w:t xml:space="preserve">the competitive integrity of intercollegiate athletics is of vital importance;</w:t>
      </w:r>
    </w:p>
    <w:p w:rsidR="003F3435" w:rsidRDefault="0032493E">
      <w:pPr>
        <w:spacing w:line="480" w:lineRule="auto"/>
        <w:ind w:firstLine="1440"/>
        <w:jc w:val="both"/>
      </w:pPr>
      <w:r>
        <w:t xml:space="preserve">(3)</w:t>
      </w:r>
      <w:r xml:space="preserve">
        <w:t> </w:t>
      </w:r>
      <w:r xml:space="preserve">
        <w:t> </w:t>
      </w:r>
      <w:r>
        <w:t xml:space="preserve">the United States Congress has failed to act to provide uniform guidance to the states on the matter of intercollegiate athletes receiving compensation in exchange for the use of the athlete's name, image, or likeness; and</w:t>
      </w:r>
    </w:p>
    <w:p w:rsidR="003F3435" w:rsidRDefault="0032493E">
      <w:pPr>
        <w:spacing w:line="480" w:lineRule="auto"/>
        <w:ind w:firstLine="1440"/>
        <w:jc w:val="both"/>
      </w:pPr>
      <w:r>
        <w:t xml:space="preserve">(4)</w:t>
      </w:r>
      <w:r xml:space="preserve">
        <w:t> </w:t>
      </w:r>
      <w:r xml:space="preserve">
        <w:t> </w:t>
      </w:r>
      <w:r>
        <w:t xml:space="preserve">the United States Congress must act on this matter to ensure the competitive integrity of intercollegiate athletics.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"Honor code" means a set of rules or principles governing an academic community to which a student agrees to abide when attending an institution to which this section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contract" means a contract between an institution to which this section applies or its designated representative and an external party that includes a sponsorship agreement governing the use of the institution's trademarks in connection with athletics.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"Team contract" means a contract between a student athlete and an institution to which this section applies and includes any rules or expectations of the institution's athletic department or head coach that require a student athlete's compliance as a condition under the contract of participation as a member of the intercollegiate athletic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as that term is defined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for contracts or other legal matters relating to the use of the student athlete's name, image, or likeness;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solicit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for contracts or other legal matters relating to use of the student athlete's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to which this section applies may not prescribe a team contract for an intercollegiate athletic program that prohibits or otherwise prevents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for the use of the student athlete's name, image, or likeness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provision of the contract conflicts with a provision of the student athlete's team contract, a provision of an institutional contract of the institution, or a provision of the honor code of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compensation for the use of the student athlete's name, image, or likeness is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exchange for athletic performance or attendance at the institution;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institution;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exchange for property owned by the institution or for providing an endorsement while using intellectual property or other property owned by the institution;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exchange for an endorsement of alcohol, tobacco products, e-cigarettes or any other type of nicotine delivery device, anabolic steroids,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duration of the contract extends beyond the student athlete's participation in the intercollegiate athletic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relating to use of the student athlete's name, image, or likeness unless the athlete agent holds a certificate of registration under Chapter 2051,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considered an employee of the institution based on the student athlete's participation in the intercollegiate athletic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earn compensation from selling the student athlete's autograph in a manner that does not otherwise conflict with a provision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an institutional contract of the institution, or the honor code of the institution shall promptly disclose the conflict to the student athlete or the student athlete's representative, if applicable. </w:t>
      </w:r>
      <w:r>
        <w:rPr>
          <w:u w:val="single"/>
        </w:rPr>
        <w:t xml:space="preserve"> </w:t>
      </w:r>
      <w:r>
        <w:rPr>
          <w:u w:val="single"/>
        </w:rPr>
        <w:t xml:space="preserve">The student athlete or the student athlete's representative is responsible for resolving the conflict not later than the 10th day after the date of the disclosure.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institution to which this section applies shall require a student athlete participating in an intercollegiate athletic program at the institution to attend a financial literacy and life skills workshop at the beginning of the student's first and third academic years at the institution.  The workshop must be at least five hours in duration and include information on financial aid, debt management, time management, budgeting, and academic resources available to the student athlete.  The institution may not during the workshop allow any provider of financial products or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 advertise, or refer the provider's services to a student athlete;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 student athlete to use the provider's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2051.351,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including this section, does not prohibit an athlete agent from representing a student athlete in the use of the student athlete's name, image, or likeness in accordance with Section 51.9246,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