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disclosure of an autopsy image or other visual depiction;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Penal Code, is amended by adding Section 42.076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42.076.</w:t>
      </w:r>
      <w:r>
        <w:rPr>
          <w:u w:val="single"/>
        </w:rPr>
        <w:t xml:space="preserve"> </w:t>
      </w:r>
      <w:r>
        <w:rPr>
          <w:u w:val="single"/>
        </w:rPr>
        <w:t xml:space="preserve"> </w:t>
      </w:r>
      <w:r>
        <w:rPr>
          <w:u w:val="single"/>
        </w:rPr>
        <w:t xml:space="preserve">UNLAWFUL DISCLOSURE OF AUTOPSY IMAGE OR OTHER VISUAL DEPICTION.  (a)  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discloses an image or other visual depiction of an autopsy without the prior consent of the person who is the subject of the autopsy or without the consent of that person's legal representative;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of the image or other visual depiction reveals in any manner the identity of the person who is the subject of the autopsy, including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accompanying or subsequent information or material related to the visual depiction;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or material provided by a third party in response to the disclosure of the visual depiction.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 is made in the course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reporting unlawful activity;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legal proceeding, if the disclosure is permitted or required by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legitimate medical, educational, research, scientific, investigational, forensic, or academic proceeding;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an interactive computer service, as defined by 47 U.S.C. Section 230, and the disclosure consists of an image or visual depiction provided by another person to the computer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more than $1,000;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the county jail for not more than six months;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confinement.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constituting an offense under this section also constitutes an offense under Section 552.352, Government Code, the actor may be prosecuted under either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