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2021S0132-T  03/02/21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1392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to limit or prohibit medical procedures during a declared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418, Government Code, is amended by adding Section 418.0125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418.0125.</w:t>
      </w:r>
      <w:r>
        <w:rPr>
          <w:u w:val="single"/>
        </w:rPr>
        <w:t xml:space="preserve"> </w:t>
      </w:r>
      <w:r>
        <w:rPr>
          <w:u w:val="single"/>
        </w:rPr>
        <w:t xml:space="preserve"> </w:t>
      </w:r>
      <w:r>
        <w:rPr>
          <w:u w:val="single"/>
        </w:rPr>
        <w:t xml:space="preserve">LIMITATIONS ON MEDICAL PROCEDURES.  (a)</w:t>
      </w:r>
      <w:r>
        <w:rPr>
          <w:u w:val="single"/>
        </w:rPr>
        <w:t xml:space="preserve"> </w:t>
      </w:r>
      <w:r>
        <w:rPr>
          <w:u w:val="single"/>
        </w:rPr>
        <w:t xml:space="preserve"> </w:t>
      </w:r>
      <w:r>
        <w:rPr>
          <w:u w:val="single"/>
        </w:rPr>
        <w:t xml:space="preserve">In this section, "nonelective procedure" means a medical procedure, including surgery, physical exam, diagnostic test, the performing of lab tests, obtaining specimens to perform laboratory tests, and screening, that if not performed within a reasonable time may, as determined by a patient's physician in good faith, result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patient's loss of life;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deterioration, complications, or progression of the patient's current or potential medical condition or disorder, including physical condition or mental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during a declared state of disaster may not issue an executive order, proclamation, or regulation that limits or prohibits a nonelective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during a declared state of disaster may issue an executive order, proclamation, or regulation imposing a temporary limitation or prohibition on a medical procedure other than a nonelective procedure only if the limitation or prohibition is reasonably necessary to conserve resources for nonelective procedures or resources needed for disaster response.  An executive order, proclamation, or regulation issued under this subsection may not continue for more than 15 days unless renewed by the governor.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subject to an order, proclamation, or regulation under this section who in good faith takes or fails to take any action in accordance with that order, proclamation, or regulation is immune from civil or criminal liability or disciplinary action resulting from that act or failure to 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immunity provided by Subsection (d) is in addition to any other immunity or limitations of liability provided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this section does not create a civil, criminal, or administrative cause of action or liability or create a standard of care, obligation, or duty that provides the basis for a cause of action for an act or omission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order, proclamation, or regulation issued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