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1397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2021; March</w:t>
      </w:r>
      <w:r xml:space="preserve">
        <w:t> </w:t>
      </w:r>
      <w:r>
        <w:t xml:space="preserve">18,</w:t>
      </w:r>
      <w:r xml:space="preserve">
        <w:t> </w:t>
      </w:r>
      <w:r>
        <w:t xml:space="preserve">2021, read first time and referred to Committee on Health &amp; Human Services; April</w:t>
      </w:r>
      <w:r xml:space="preserve">
        <w:t> </w:t>
      </w:r>
      <w:r>
        <w:t xml:space="preserve">8,</w:t>
      </w:r>
      <w:r xml:space="preserve">
        <w:t> </w:t>
      </w:r>
      <w:r>
        <w:t xml:space="preserve">2021, reported favorably by the following vote:</w:t>
      </w:r>
      <w:r>
        <w:t xml:space="preserve"> </w:t>
      </w:r>
      <w:r>
        <w:t xml:space="preserve"> </w:t>
      </w:r>
      <w:r>
        <w:t xml:space="preserve">Yeas 9, Nays 0; April</w:t>
      </w:r>
      <w:r xml:space="preserve">
        <w:t> </w:t>
      </w:r>
      <w:r>
        <w:t xml:space="preserve">8,</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establishing a coordinated system for the dispatch, triage, transport, and transfer of patients in certain trauma service area regional advisory councils; providing rulemaking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773, Health and Safety Code, is amended by adding Section 773.1141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773.1141. INFORMATION AND GUIDELINES RELATED TO CERTAIN PATIENT TRANSFERS AND RELATED SERVICES. </w:t>
      </w:r>
      <w:r>
        <w:rPr>
          <w:u w:val="single"/>
        </w:rPr>
        <w:t xml:space="preserve"> </w:t>
      </w:r>
      <w:r>
        <w:rPr>
          <w:u w:val="single"/>
        </w:rPr>
        <w:t xml:space="preserve">(a)</w:t>
      </w:r>
      <w:r>
        <w:rPr>
          <w:u w:val="single"/>
        </w:rPr>
        <w:t xml:space="preserve"> </w:t>
      </w:r>
      <w:r>
        <w:rPr>
          <w:u w:val="single"/>
        </w:rPr>
        <w:t xml:space="preserve"> </w:t>
      </w:r>
      <w:r>
        <w:rPr>
          <w:u w:val="single"/>
        </w:rPr>
        <w:t xml:space="preserve">This section applies only to a trauma service area regional advisory council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one county located on the international border of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at least one county adjacent to the Gulf of Mexico.</w:t>
      </w:r>
    </w:p>
    <w:p w:rsidR="003F3435" w:rsidRDefault="0032493E">
      <w:pPr>
        <w:spacing w:line="480" w:lineRule="auto"/>
        <w:ind w:firstLine="720"/>
        <w:jc w:val="both"/>
      </w:pPr>
      <w:r>
        <w:rPr>
          <w:u w:val="single"/>
        </w:rPr>
        <w:t xml:space="preserve">(b)</w:t>
      </w:r>
      <w:r>
        <w:rPr>
          <w:u w:val="single"/>
        </w:rPr>
        <w:t xml:space="preserve"> </w:t>
      </w:r>
      <w:r>
        <w:rPr>
          <w:u w:val="single"/>
        </w:rPr>
        <w:t xml:space="preserve">For each trauma service area regional advisory council to which this section applies, the department, by January 1, 2022,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require the council to create an advisory committee composed of equally represented designated trauma hospital members located within the geographic boundaries of the council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develop guidelines for patient transfers;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periodically review patient transfers to ensure compliance with applicable guidelines;</w:t>
      </w:r>
    </w:p>
    <w:p w:rsidR="003F3435" w:rsidRDefault="0032493E">
      <w:pPr>
        <w:spacing w:line="480" w:lineRule="auto"/>
        <w:ind w:firstLine="1440"/>
        <w:jc w:val="both"/>
      </w:pPr>
      <w:r>
        <w:rPr>
          <w:u w:val="single"/>
        </w:rPr>
        <w:t xml:space="preserve">(2)</w:t>
      </w:r>
      <w:r>
        <w:rPr>
          <w:u w:val="single"/>
        </w:rPr>
        <w:t xml:space="preserve"> </w:t>
      </w:r>
      <w:r>
        <w:rPr>
          <w:u w:val="single"/>
        </w:rPr>
        <w:t xml:space="preserve">for the purpose of ensuring that patients located in the council's geographic boundaries receive health care at the closest and most appropriate health care facility, require the council to implement a centralized system to assist the council in the dispatch, triage, transport, and transfer of patients;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require each hospital and emergency services provider operating within the geographic boundaries of the council to collect and report to the council data on patients transferred outside the geographic boundaries of the council.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members elected to each house, as provided by Section 39, Article III, Texas Constitution.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