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the presiding judge of an early ballot voting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87.005, Election Code, is amended to read as follows:</w:t>
      </w:r>
    </w:p>
    <w:p w:rsidR="003F3435" w:rsidRDefault="0032493E">
      <w:pPr>
        <w:spacing w:line="480" w:lineRule="auto"/>
        <w:ind w:firstLine="720"/>
        <w:jc w:val="both"/>
      </w:pPr>
      <w:r>
        <w:t xml:space="preserve">Sec.</w:t>
      </w:r>
      <w:r xml:space="preserve">
        <w:t> </w:t>
      </w:r>
      <w:r>
        <w:t xml:space="preserve">87.005.</w:t>
      </w:r>
      <w:r xml:space="preserve">
        <w:t> </w:t>
      </w:r>
      <w:r xml:space="preserve">
        <w:t> </w:t>
      </w:r>
      <w:r>
        <w:t xml:space="preserve">COMPENSATION OF MEMBERS.  (a)  Members of the early voting ballot board are entitled to the same compensation as presiding election judges, except </w:t>
      </w:r>
      <w:r>
        <w:rPr>
          <w:u w:val="single"/>
        </w:rPr>
        <w:t xml:space="preserve">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judge may be compensated at a higher rate at the discretion of the appropriate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w:t>
      </w:r>
      <w:r>
        <w:t xml:space="preserve"> [</w:t>
      </w:r>
      <w:r>
        <w:rPr>
          <w:strike/>
        </w:rPr>
        <w:t xml:space="preserve">as provided by Subsection (b).</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w:t>
      </w:r>
      <w:r>
        <w:t xml:space="preserve">] the board concludes its work in less than 10 hours, the members may be paid greater compensation than that regularly payable for the amount of time worked, but not to exceed the amount payable for 10 hours' work.</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Precinct officers serving as board members under Section 87.004 may not be compensated for both positions.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1418 passed the Senate on April</w:t>
      </w:r>
      <w:r xml:space="preserve">
        <w:t> </w:t>
      </w:r>
      <w:r>
        <w:t xml:space="preserve">23,</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1418 passed the House on May</w:t>
      </w:r>
      <w:r xml:space="preserve">
        <w:t> </w:t>
      </w:r>
      <w:r>
        <w:t xml:space="preserve">26,</w:t>
      </w:r>
      <w:r xml:space="preserve">
        <w:t> </w:t>
      </w:r>
      <w:r>
        <w:t xml:space="preserve">2021, by the following vote:</w:t>
      </w:r>
      <w:r xml:space="preserve">
        <w:t> </w:t>
      </w:r>
      <w:r xml:space="preserve">
        <w:t> </w:t>
      </w:r>
      <w:r>
        <w:t xml:space="preserve">Yeas</w:t>
      </w:r>
      <w:r xml:space="preserve">
        <w:t> </w:t>
      </w:r>
      <w:r>
        <w:t xml:space="preserve">140,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