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87R851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of an ad valorem tax appraisal roll and related appraisal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 Tax Code, is amended by adding Subsection (c-1) and amending Subsections (e) and (m)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appraisal review board, on motion of the chief appraiser or of a property owner, may direct by written order changes in the appraisal roll or related appraisal records for the current tax year and for either of the two preceding tax years to correct an inaccuracy in the appraised value of the owner's tangible personal property that is the result of an error or omission in a rendition statement or property report filed under Chapter 22 for the applicable tax year.  The roll may not be changed under this subsection for any tax year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failed to timely file the rendition statement or property report in accordance with Section 22.23 and was assessed a penalty under Section 22.28;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was the subject of a protest brought by the property owner under Chapter 41, a hearing on the protest was conducted in which the owner offered evidence or argument, and the appraisal review board made a determination of the protest on the merits;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was the subject of a previous motion filed by the property owner under this section and the chief appraiser and the owner agreed to the correction, the appraisal review board determined the motion, or the appraisal review board determined that the owner forfeited the right to a final determination of the motion for failing to comply with the prepayment requirements of Section 25.26;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 (c-1),</w:t>
      </w:r>
      <w:r>
        <w:t xml:space="preserve"> or (d) is entitled on request to a hearing on and a determination of the motion by the appraisal review board.  A party bringing a motion under this section must describe the error or errors that the motion is seeking to correct.  Not later than 15 days before the date of the hearing, the board shall deliver written notice of the date, time, and place of the hearing to the chief 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The property owner is entitled to elect to present the owner's evidence and argument before, after, or between the cases presented by the chief appraiser and each taxing unit.  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 (c-1),</w:t>
      </w:r>
      <w:r>
        <w:t xml:space="preserve"> or (d) shall be conducted in the manner provided by Subchapter C, Chapter 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