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8,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correction of an ad valorem tax appraisal roll and related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adding Subsection (c-1) and amending Subsections (e)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the chief appraiser or of a property owner, may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22 for the applicable tax year.  The roll may not be changed under this subsection for any tax year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failed to timely file the rendition statement or property report in accordance with Section 22.23 and was assessed a penalty under Section 22.28;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was the subject of a protest brought by the property owner under Chapter 41, a hearing on the protest was conducted in which the owner offered evidence or argument, and the appraisal review board made a determination of the protest on the merits;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subject of a previous motion filed by the property owner under this section and the chief appraiser and the owner agreed to the correction, the appraisal review board determined the motion, or the appraisal review board determined that the owner forfeited the right to a final determination of the motion for failing to comply with the prepayment requirements of Section 25.26;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  A party bringing a motion under this section must describe the error or errors that the motion is seeking to correct.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The property owner is entitled to elect to present the owner's evidence and argument before, after, or between the cases presented by the chief appraiser and each taxing unit.  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