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87R858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date for ordering or holding an election to ratify the ad valorem tax rate of a school district;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11.4391(a), Tax Code, is amended to read as follows:</w:t>
      </w:r>
    </w:p>
    <w:p w:rsidR="003F3435" w:rsidRDefault="0032493E">
      <w:pPr>
        <w:spacing w:line="480" w:lineRule="auto"/>
        <w:ind w:firstLine="720"/>
        <w:jc w:val="both"/>
      </w:pPr>
      <w:r>
        <w:t xml:space="preserve">(a)</w:t>
      </w:r>
      <w:r xml:space="preserve">
        <w:t> </w:t>
      </w:r>
      <w:r xml:space="preserve">
        <w:t> </w:t>
      </w:r>
      <w:r>
        <w:t xml:space="preserve">The chief appraiser shall accept and approve or deny an application for an exemption for freeport goods under Section 11.251 after the deadline for filing it has passed if it is filed on or before the later of:</w:t>
      </w:r>
    </w:p>
    <w:p w:rsidR="003F3435" w:rsidRDefault="0032493E">
      <w:pPr>
        <w:spacing w:line="480" w:lineRule="auto"/>
        <w:ind w:firstLine="1440"/>
        <w:jc w:val="both"/>
      </w:pPr>
      <w:r>
        <w:t xml:space="preserve">(1)</w:t>
      </w:r>
      <w:r xml:space="preserve">
        <w:t> </w:t>
      </w:r>
      <w:r xml:space="preserve">
        <w:t> </w:t>
      </w:r>
      <w:r>
        <w:t xml:space="preserve">June </w:t>
      </w:r>
      <w:r>
        <w:rPr>
          <w:u w:val="single"/>
        </w:rPr>
        <w:t xml:space="preserve">1</w:t>
      </w:r>
      <w:r>
        <w:t xml:space="preserve"> [</w:t>
      </w:r>
      <w:r>
        <w:rPr>
          <w:strike/>
        </w:rPr>
        <w:t xml:space="preserve">15</w:t>
      </w:r>
      <w:r>
        <w:t xml:space="preserve">]; or</w:t>
      </w:r>
    </w:p>
    <w:p w:rsidR="003F3435" w:rsidRDefault="0032493E">
      <w:pPr>
        <w:spacing w:line="480" w:lineRule="auto"/>
        <w:ind w:firstLine="1440"/>
        <w:jc w:val="both"/>
      </w:pPr>
      <w:r>
        <w:t xml:space="preserve">(2)</w:t>
      </w:r>
      <w:r xml:space="preserve">
        <w:t> </w:t>
      </w:r>
      <w:r xml:space="preserve">
        <w:t> </w:t>
      </w:r>
      <w:r>
        <w:t xml:space="preserve">if applicable, the 60th day after the date on which the chief appraiser delivers notice to the property owner under Section 22.22.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22.23(a)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Rendition statements and property reports must be delivered to the chief appraiser after January 1 and not later than April </w:t>
      </w:r>
      <w:r>
        <w:rPr>
          <w:u w:val="single"/>
        </w:rPr>
        <w:t xml:space="preserve">1</w:t>
      </w:r>
      <w:r>
        <w:t xml:space="preserve"> [</w:t>
      </w:r>
      <w:r>
        <w:rPr>
          <w:strike/>
        </w:rPr>
        <w:t xml:space="preserve">15</w:t>
      </w:r>
      <w:r>
        <w:t xml:space="preserve">], except as provided by Section 22.02.</w:t>
      </w:r>
    </w:p>
    <w:p w:rsidR="003F3435" w:rsidRDefault="0032493E">
      <w:pPr>
        <w:spacing w:line="480" w:lineRule="auto"/>
        <w:ind w:firstLine="720"/>
        <w:jc w:val="both"/>
      </w:pPr>
      <w:r>
        <w:t xml:space="preserve">(b)</w:t>
      </w:r>
      <w:r xml:space="preserve">
        <w:t> </w:t>
      </w:r>
      <w:r xml:space="preserve">
        <w:t> </w:t>
      </w:r>
      <w:r>
        <w:t xml:space="preserve">On written request by the property owner, the chief appraiser shall extend a deadline for filing a rendition statement or property report to </w:t>
      </w:r>
      <w:r>
        <w:rPr>
          <w:u w:val="single"/>
        </w:rPr>
        <w:t xml:space="preserve">a date not later than</w:t>
      </w:r>
      <w:r>
        <w:t xml:space="preserve"> May </w:t>
      </w:r>
      <w:r>
        <w:rPr>
          <w:u w:val="single"/>
        </w:rPr>
        <w:t xml:space="preserve">1</w:t>
      </w:r>
      <w:r>
        <w:t xml:space="preserve"> [</w:t>
      </w:r>
      <w:r>
        <w:rPr>
          <w:strike/>
        </w:rPr>
        <w:t xml:space="preserve">15</w:t>
      </w:r>
      <w:r>
        <w:t xml:space="preserve">].  The chief appraiser may further extend the deadline an additional 15 days upon good cause shown in writing by the property owner.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25.19(a) and (g), Tax Code, are amended to read as follows:</w:t>
      </w:r>
    </w:p>
    <w:p w:rsidR="003F3435" w:rsidRDefault="0032493E">
      <w:pPr>
        <w:spacing w:line="480" w:lineRule="auto"/>
        <w:ind w:firstLine="720"/>
        <w:jc w:val="both"/>
      </w:pPr>
      <w:r>
        <w:t xml:space="preserve">(a)</w:t>
      </w:r>
      <w:r xml:space="preserve">
        <w:t> </w:t>
      </w:r>
      <w:r xml:space="preserve">
        <w:t> </w:t>
      </w:r>
      <w:r>
        <w:t xml:space="preserve">By April </w:t>
      </w:r>
      <w:r>
        <w:rPr>
          <w:u w:val="single"/>
        </w:rPr>
        <w:t xml:space="preserve">15</w:t>
      </w:r>
      <w:r>
        <w:t xml:space="preserve"> [</w:t>
      </w:r>
      <w:r>
        <w:rPr>
          <w:strike/>
        </w:rPr>
        <w:t xml:space="preserve">1</w:t>
      </w:r>
      <w:r>
        <w:t xml:space="preserve">] or as soon thereafter as practicable [</w:t>
      </w:r>
      <w:r>
        <w:rPr>
          <w:strike/>
        </w:rPr>
        <w:t xml:space="preserve">if the property is a single-family residence that qualifies for an exemption under Section 11.13, or by May 1 or as soon thereafter as practicable in connection with any other property</w:t>
      </w:r>
      <w:r>
        <w:t xml:space="preserve">], the chief appraiser shall deliver a clear and understandable written notice to a property owner of the appraised value of the property owner's property if:</w:t>
      </w:r>
    </w:p>
    <w:p w:rsidR="003F3435" w:rsidRDefault="0032493E">
      <w:pPr>
        <w:spacing w:line="480" w:lineRule="auto"/>
        <w:ind w:firstLine="1440"/>
        <w:jc w:val="both"/>
      </w:pPr>
      <w:r>
        <w:t xml:space="preserve">(1)</w:t>
      </w:r>
      <w:r xml:space="preserve">
        <w:t> </w:t>
      </w:r>
      <w:r xml:space="preserve">
        <w:t> </w:t>
      </w:r>
      <w:r>
        <w:t xml:space="preserve">the appraised value of the property is greater than it was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is greater than the value rendered by the property owner;</w:t>
      </w:r>
    </w:p>
    <w:p w:rsidR="003F3435" w:rsidRDefault="0032493E">
      <w:pPr>
        <w:spacing w:line="480" w:lineRule="auto"/>
        <w:ind w:firstLine="1440"/>
        <w:jc w:val="both"/>
      </w:pPr>
      <w:r>
        <w:t xml:space="preserve">(3)</w:t>
      </w:r>
      <w:r xml:space="preserve">
        <w:t> </w:t>
      </w:r>
      <w:r xml:space="preserve">
        <w:t> </w:t>
      </w:r>
      <w:r>
        <w:t xml:space="preserve">the property was not on the appraisal roll in the preceding year; or</w:t>
      </w:r>
    </w:p>
    <w:p w:rsidR="003F3435" w:rsidRDefault="0032493E">
      <w:pPr>
        <w:spacing w:line="480" w:lineRule="auto"/>
        <w:ind w:firstLine="1440"/>
        <w:jc w:val="both"/>
      </w:pPr>
      <w:r>
        <w:t xml:space="preserve">(4)</w:t>
      </w:r>
      <w:r xml:space="preserve">
        <w:t> </w:t>
      </w:r>
      <w:r xml:space="preserve">
        <w:t> </w:t>
      </w:r>
      <w:r>
        <w:t xml:space="preserve">an exemption or partial exemption approved for the property for the preceding year was canceled or reduced for the current year.</w:t>
      </w:r>
    </w:p>
    <w:p w:rsidR="003F3435" w:rsidRDefault="0032493E">
      <w:pPr>
        <w:spacing w:line="480" w:lineRule="auto"/>
        <w:ind w:firstLine="720"/>
        <w:jc w:val="both"/>
      </w:pPr>
      <w:r>
        <w:t xml:space="preserve">(g)</w:t>
      </w:r>
      <w:r xml:space="preserve">
        <w:t> </w:t>
      </w:r>
      <w:r xml:space="preserve">
        <w:t> </w:t>
      </w:r>
      <w:r>
        <w:t xml:space="preserve">By April </w:t>
      </w:r>
      <w:r>
        <w:rPr>
          <w:u w:val="single"/>
        </w:rPr>
        <w:t xml:space="preserve">15</w:t>
      </w:r>
      <w:r>
        <w:t xml:space="preserve"> [</w:t>
      </w:r>
      <w:r>
        <w:rPr>
          <w:strike/>
        </w:rPr>
        <w:t xml:space="preserve">1</w:t>
      </w:r>
      <w:r>
        <w:t xml:space="preserve">] or as soon thereafter as practicable [</w:t>
      </w:r>
      <w:r>
        <w:rPr>
          <w:strike/>
        </w:rPr>
        <w:t xml:space="preserve">if the property is a single-family residence that qualifies for an exemption under Section 11.13, or by May 1 or as soon thereafter as practicable in connection with any other property</w:t>
      </w:r>
      <w:r>
        <w:t xml:space="preserve">],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  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25.22(a), Tax Code, is amended to read as follows:</w:t>
      </w:r>
    </w:p>
    <w:p w:rsidR="003F3435" w:rsidRDefault="0032493E">
      <w:pPr>
        <w:spacing w:line="480" w:lineRule="auto"/>
        <w:ind w:firstLine="720"/>
        <w:jc w:val="both"/>
      </w:pPr>
      <w:r>
        <w:t xml:space="preserve">(a)</w:t>
      </w:r>
      <w:r xml:space="preserve">
        <w:t> </w:t>
      </w:r>
      <w:r xml:space="preserve">
        <w:t> </w:t>
      </w:r>
      <w:r>
        <w:t xml:space="preserve">By May </w:t>
      </w:r>
      <w:r>
        <w:rPr>
          <w:u w:val="single"/>
        </w:rPr>
        <w:t xml:space="preserve">1</w:t>
      </w:r>
      <w:r>
        <w:t xml:space="preserve"> [</w:t>
      </w:r>
      <w:r>
        <w:rPr>
          <w:strike/>
        </w:rPr>
        <w:t xml:space="preserve">15</w:t>
      </w:r>
      <w:r>
        <w:t xml:space="preserve">] or as soon thereafter as practicable, the chief appraiser shall submit the completed appraisal records to the appraisal review board for review and determination of protests.  However, the chief appraiser may not submit the records until the chief appraiser has delivered the notices required by </w:t>
      </w:r>
      <w:r>
        <w:rPr>
          <w:u w:val="single"/>
        </w:rPr>
        <w:t xml:space="preserve">Sections 11.45(d)</w:t>
      </w:r>
      <w:r>
        <w:t xml:space="preserve"> [</w:t>
      </w:r>
      <w:r>
        <w:rPr>
          <w:strike/>
        </w:rPr>
        <w:t xml:space="preserve">Subsection (d) of Section 11.45</w:t>
      </w:r>
      <w:r>
        <w:t xml:space="preserve">], </w:t>
      </w:r>
      <w:r>
        <w:rPr>
          <w:u w:val="single"/>
        </w:rPr>
        <w:t xml:space="preserve">23.44(d)</w:t>
      </w:r>
      <w:r>
        <w:t xml:space="preserve"> [</w:t>
      </w:r>
      <w:r>
        <w:rPr>
          <w:strike/>
        </w:rPr>
        <w:t xml:space="preserve">Subsection (d) of Section 23.44</w:t>
      </w:r>
      <w:r>
        <w:t xml:space="preserve">], </w:t>
      </w:r>
      <w:r>
        <w:rPr>
          <w:u w:val="single"/>
        </w:rPr>
        <w:t xml:space="preserve">23.57(d)</w:t>
      </w:r>
      <w:r>
        <w:t xml:space="preserve"> [</w:t>
      </w:r>
      <w:r>
        <w:rPr>
          <w:strike/>
        </w:rPr>
        <w:t xml:space="preserve">Subsection (d) of Section 23.57</w:t>
      </w:r>
      <w:r>
        <w:t xml:space="preserve">], </w:t>
      </w:r>
      <w:r>
        <w:rPr>
          <w:u w:val="single"/>
        </w:rPr>
        <w:t xml:space="preserve">23.79(d)</w:t>
      </w:r>
      <w:r>
        <w:t xml:space="preserve"> [</w:t>
      </w:r>
      <w:r>
        <w:rPr>
          <w:strike/>
        </w:rPr>
        <w:t xml:space="preserve">Subsection (d) of Section 23.79</w:t>
      </w:r>
      <w:r>
        <w:t xml:space="preserve">], </w:t>
      </w:r>
      <w:r>
        <w:rPr>
          <w:u w:val="single"/>
        </w:rPr>
        <w:t xml:space="preserve">23.85(d)</w:t>
      </w:r>
      <w:r>
        <w:t xml:space="preserve"> [</w:t>
      </w:r>
      <w:r>
        <w:rPr>
          <w:strike/>
        </w:rPr>
        <w:t xml:space="preserve">Subsection (d) of Section 23.85</w:t>
      </w:r>
      <w:r>
        <w:t xml:space="preserve">], </w:t>
      </w:r>
      <w:r>
        <w:rPr>
          <w:u w:val="single"/>
        </w:rPr>
        <w:t xml:space="preserve">23.95(d)</w:t>
      </w:r>
      <w:r>
        <w:t xml:space="preserve"> [</w:t>
      </w:r>
      <w:r>
        <w:rPr>
          <w:strike/>
        </w:rPr>
        <w:t xml:space="preserve">Subsection (d) of Section 23.95</w:t>
      </w:r>
      <w:r>
        <w:t xml:space="preserve">], </w:t>
      </w:r>
      <w:r>
        <w:rPr>
          <w:u w:val="single"/>
        </w:rPr>
        <w:t xml:space="preserve">23.9805(d)</w:t>
      </w:r>
      <w:r>
        <w:t xml:space="preserve"> [</w:t>
      </w:r>
      <w:r>
        <w:rPr>
          <w:strike/>
        </w:rPr>
        <w:t xml:space="preserve">Subsection (d) of Section 23.9805</w:t>
      </w:r>
      <w:r>
        <w:t xml:space="preserve">], and [</w:t>
      </w:r>
      <w:r>
        <w:rPr>
          <w:strike/>
        </w:rPr>
        <w:t xml:space="preserve">Section</w:t>
      </w:r>
      <w:r>
        <w:t xml:space="preserve">] 25.19.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26.01(a), (a-1), and (e), Tax Code, are amended to read as follows:</w:t>
      </w:r>
    </w:p>
    <w:p w:rsidR="003F3435" w:rsidRDefault="0032493E">
      <w:pPr>
        <w:spacing w:line="480" w:lineRule="auto"/>
        <w:ind w:firstLine="720"/>
        <w:jc w:val="both"/>
      </w:pPr>
      <w:r>
        <w:t xml:space="preserve">(a)</w:t>
      </w:r>
      <w:r xml:space="preserve">
        <w:t> </w:t>
      </w:r>
      <w:r xml:space="preserve">
        <w:t> </w:t>
      </w:r>
      <w:r>
        <w:t xml:space="preserve">By July </w:t>
      </w:r>
      <w:r>
        <w:rPr>
          <w:u w:val="single"/>
        </w:rPr>
        <w:t xml:space="preserve">10</w:t>
      </w:r>
      <w:r>
        <w:t xml:space="preserve"> [</w:t>
      </w:r>
      <w:r>
        <w:rPr>
          <w:strike/>
        </w:rPr>
        <w:t xml:space="preserve">25</w:t>
      </w:r>
      <w:r>
        <w:t xml:space="preserve">], the chief appraiser shall prepare and certify to the assessor for each taxing unit participating in the district that part of the appraisal roll for the district that lists the property taxable by the </w:t>
      </w:r>
      <w:r>
        <w:rPr>
          <w:u w:val="single"/>
        </w:rPr>
        <w:t xml:space="preserve">taxing</w:t>
      </w:r>
      <w:r>
        <w:t xml:space="preserve"> unit.  The part certified to the assessor is the appraisal roll for the </w:t>
      </w:r>
      <w:r>
        <w:rPr>
          <w:u w:val="single"/>
        </w:rPr>
        <w:t xml:space="preserve">taxing</w:t>
      </w:r>
      <w:r>
        <w:t xml:space="preserve"> unit.  The chief appraiser shall consult with the assessor for each taxing unit and notify each </w:t>
      </w:r>
      <w:r>
        <w:rPr>
          <w:u w:val="single"/>
        </w:rPr>
        <w:t xml:space="preserve">taxing</w:t>
      </w:r>
      <w:r>
        <w:t xml:space="preserve"> unit in writing by April 1 of the form in which the roll will be provided to each </w:t>
      </w:r>
      <w:r>
        <w:rPr>
          <w:u w:val="single"/>
        </w:rPr>
        <w:t xml:space="preserve">taxing</w:t>
      </w:r>
      <w:r>
        <w:t xml:space="preserve"> unit.</w:t>
      </w:r>
    </w:p>
    <w:p w:rsidR="003F3435" w:rsidRDefault="0032493E">
      <w:pPr>
        <w:spacing w:line="480" w:lineRule="auto"/>
        <w:ind w:firstLine="720"/>
        <w:jc w:val="both"/>
      </w:pPr>
      <w:r>
        <w:t xml:space="preserve">(a-1)</w:t>
      </w:r>
      <w:r xml:space="preserve">
        <w:t> </w:t>
      </w:r>
      <w:r xml:space="preserve">
        <w:t> </w:t>
      </w:r>
      <w:r>
        <w:t xml:space="preserve">If by July </w:t>
      </w:r>
      <w:r>
        <w:rPr>
          <w:u w:val="single"/>
        </w:rPr>
        <w:t xml:space="preserve">5</w:t>
      </w:r>
      <w:r>
        <w:t xml:space="preserve"> [</w:t>
      </w:r>
      <w:r>
        <w:rPr>
          <w:strike/>
        </w:rPr>
        <w:t xml:space="preserve">20</w:t>
      </w:r>
      <w:r>
        <w:t xml:space="preserve">] the appraisal review board for an appraisal district has not approved the appraisal records for the district as required under Section 41.12, the chief appraiser shall not later than July </w:t>
      </w:r>
      <w:r>
        <w:rPr>
          <w:u w:val="single"/>
        </w:rPr>
        <w:t xml:space="preserve">10</w:t>
      </w:r>
      <w:r>
        <w:t xml:space="preserve"> [</w:t>
      </w:r>
      <w:r>
        <w:rPr>
          <w:strike/>
        </w:rPr>
        <w:t xml:space="preserve">25</w:t>
      </w:r>
      <w:r>
        <w:t xml:space="preserve">] prepare and certify to the assessor for each taxing unit participating in the district an estimate of the taxable value of property in that taxing unit.</w:t>
      </w:r>
    </w:p>
    <w:p w:rsidR="003F3435" w:rsidRDefault="0032493E">
      <w:pPr>
        <w:spacing w:line="480" w:lineRule="auto"/>
        <w:ind w:firstLine="720"/>
        <w:jc w:val="both"/>
      </w:pPr>
      <w:r>
        <w:t xml:space="preserve">(e)</w:t>
      </w:r>
      <w:r xml:space="preserve">
        <w:t> </w:t>
      </w:r>
      <w:r xml:space="preserve">
        <w:t> </w:t>
      </w:r>
      <w:r>
        <w:t xml:space="preserve">Except as provided by Subsection (f), not later than </w:t>
      </w:r>
      <w:r>
        <w:rPr>
          <w:u w:val="single"/>
        </w:rPr>
        <w:t xml:space="preserve">May 15</w:t>
      </w:r>
      <w:r>
        <w:t xml:space="preserve"> [</w:t>
      </w:r>
      <w:r>
        <w:rPr>
          <w:strike/>
        </w:rPr>
        <w:t xml:space="preserve">April 30</w:t>
      </w:r>
      <w:r>
        <w:t xml:space="preserve">], the chief appraiser shall prepare and certify to the assessor for each county, municipality, and school district participating in the appraisal district an estimate of the taxable value of property in that taxing unit.  The chief appraiser shall assist each county, municipality, and school district in determining values of property in that taxing unit for the taxing unit's budgetary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26.04(b), (e), and (e-2), Tax Code, are amended to read as follows:</w:t>
      </w:r>
    </w:p>
    <w:p w:rsidR="003F3435" w:rsidRDefault="0032493E">
      <w:pPr>
        <w:spacing w:line="480" w:lineRule="auto"/>
        <w:ind w:firstLine="720"/>
        <w:jc w:val="both"/>
      </w:pPr>
      <w:r>
        <w:t xml:space="preserve">(b)</w:t>
      </w:r>
      <w:r xml:space="preserve">
        <w:t> </w:t>
      </w:r>
      <w:r xml:space="preserve">
        <w:t> </w:t>
      </w:r>
      <w:r>
        <w:t xml:space="preserve">The assessor shall submit the appraisal roll for the taxing unit showing the total appraised, assessed, and taxable values of all property and the total taxable value of new property to the governing body of the taxing unit by </w:t>
      </w:r>
      <w:r>
        <w:rPr>
          <w:u w:val="single"/>
        </w:rPr>
        <w:t xml:space="preserve">July 15</w:t>
      </w:r>
      <w:r>
        <w:t xml:space="preserve"> [</w:t>
      </w:r>
      <w:r>
        <w:rPr>
          <w:strike/>
        </w:rPr>
        <w:t xml:space="preserve">August 1</w:t>
      </w:r>
      <w:r>
        <w:t xml:space="preserve">] or as soon thereafter as practicable.  By </w:t>
      </w:r>
      <w:r>
        <w:rPr>
          <w:u w:val="single"/>
        </w:rPr>
        <w:t xml:space="preserve">July 15</w:t>
      </w:r>
      <w:r>
        <w:t xml:space="preserve"> [</w:t>
      </w:r>
      <w:r>
        <w:rPr>
          <w:strike/>
        </w:rPr>
        <w:t xml:space="preserve">August 1</w:t>
      </w:r>
      <w:r>
        <w:t xml:space="preserve">] or as soon thereafter as practicable, the taxing unit's collector shall certify the anticipated collection rate as calculated under Subsections (h), (h-1), and (h-2) for the current year to the governing body.  If the collector certified an anticipated collection rate in the preceding year and the actual collection rate in that year exceeded the anticipated rate, the collector shall also certify the amount of debt taxes collected in excess of the anticipated amount in the preceding year.</w:t>
      </w:r>
    </w:p>
    <w:p w:rsidR="003F3435" w:rsidRDefault="0032493E">
      <w:pPr>
        <w:spacing w:line="480" w:lineRule="auto"/>
        <w:ind w:firstLine="720"/>
        <w:jc w:val="both"/>
      </w:pPr>
      <w:r>
        <w:t xml:space="preserve">(e)</w:t>
      </w:r>
      <w:r xml:space="preserve">
        <w:t> </w:t>
      </w:r>
      <w:r xml:space="preserve">
        <w:t> </w:t>
      </w:r>
      <w:r>
        <w:t xml:space="preserve">By </w:t>
      </w:r>
      <w:r>
        <w:rPr>
          <w:u w:val="single"/>
        </w:rPr>
        <w:t xml:space="preserve">July 22</w:t>
      </w:r>
      <w:r>
        <w:t xml:space="preserve"> [</w:t>
      </w:r>
      <w:r>
        <w:rPr>
          <w:strike/>
        </w:rPr>
        <w:t xml:space="preserve">August 7</w:t>
      </w:r>
      <w:r>
        <w:t xml:space="preserve">] or as soon thereafter as practicable, the designated officer or employee shall submit the rates to the governing body.  </w:t>
      </w:r>
      <w:r>
        <w:rPr>
          <w:u w:val="single"/>
        </w:rPr>
        <w:t xml:space="preserve">By July 27, the</w:t>
      </w:r>
      <w:r>
        <w:t xml:space="preserve"> [</w:t>
      </w:r>
      <w:r>
        <w:rPr>
          <w:strike/>
        </w:rPr>
        <w:t xml:space="preserve">The</w:t>
      </w:r>
      <w:r>
        <w:t xml:space="preserve">] designated officer or employee shall post prominently on the home page of the taxing unit's Internet website in the form prescribed by the comptroller:</w:t>
      </w:r>
    </w:p>
    <w:p w:rsidR="003F3435" w:rsidRDefault="0032493E">
      <w:pPr>
        <w:spacing w:line="480" w:lineRule="auto"/>
        <w:ind w:firstLine="1440"/>
        <w:jc w:val="both"/>
      </w:pPr>
      <w:r>
        <w:t xml:space="preserve">(1)</w:t>
      </w:r>
      <w:r xml:space="preserve">
        <w:t> </w:t>
      </w:r>
      <w:r xml:space="preserve">
        <w:t> </w:t>
      </w:r>
      <w:r>
        <w:t xml:space="preserve">the no-new-revenue tax rate, the voter-approval tax rate, and an explanation of how they were calculated;</w:t>
      </w:r>
    </w:p>
    <w:p w:rsidR="003F3435" w:rsidRDefault="0032493E">
      <w:pPr>
        <w:spacing w:line="480" w:lineRule="auto"/>
        <w:ind w:firstLine="1440"/>
        <w:jc w:val="both"/>
      </w:pPr>
      <w:r>
        <w:t xml:space="preserve">(2)</w:t>
      </w:r>
      <w:r xml:space="preserve">
        <w:t> </w:t>
      </w:r>
      <w:r xml:space="preserve">
        <w:t> </w:t>
      </w:r>
      <w:r>
        <w:t xml:space="preserve">the estimated amount of interest and sinking fund balances and the estimated amount of maintenance and operation or general fund balances remaining at the end of the current fiscal year that are not encumbered with or by corresponding existing debt obligation; and</w:t>
      </w:r>
    </w:p>
    <w:p w:rsidR="003F3435" w:rsidRDefault="0032493E">
      <w:pPr>
        <w:spacing w:line="480" w:lineRule="auto"/>
        <w:ind w:firstLine="1440"/>
        <w:jc w:val="both"/>
      </w:pPr>
      <w:r>
        <w:t xml:space="preserve">(3)</w:t>
      </w:r>
      <w:r xml:space="preserve">
        <w:t> </w:t>
      </w:r>
      <w:r xml:space="preserve">
        <w:t> </w:t>
      </w:r>
      <w:r>
        <w:t xml:space="preserve">a schedule of the taxing unit's debt obligations showing:</w:t>
      </w:r>
    </w:p>
    <w:p w:rsidR="003F3435" w:rsidRDefault="0032493E">
      <w:pPr>
        <w:spacing w:line="480" w:lineRule="auto"/>
        <w:ind w:firstLine="2160"/>
        <w:jc w:val="both"/>
      </w:pPr>
      <w:r>
        <w:t xml:space="preserve">(A)</w:t>
      </w:r>
      <w:r xml:space="preserve">
        <w:t> </w:t>
      </w:r>
      <w:r xml:space="preserve">
        <w:t> </w:t>
      </w:r>
      <w:r>
        <w:t xml:space="preserve">the amount of principal and interest that will be paid to service the taxing unit's debts in the next year from property tax revenue, including payments of lawfully incurred contractual obligations providing security for the payment of the principal of and interest on bonds and other evidences of indebtedness issued on behalf of the taxing unit by another political subdivision and, if the taxing unit is created under Section 52, Article III, or Section 59, Article XVI, Texas Constitution, payments on debts that the taxing unit anticipates to incur in the next calendar year;</w:t>
      </w:r>
    </w:p>
    <w:p w:rsidR="003F3435" w:rsidRDefault="0032493E">
      <w:pPr>
        <w:spacing w:line="480" w:lineRule="auto"/>
        <w:ind w:firstLine="2160"/>
        <w:jc w:val="both"/>
      </w:pPr>
      <w:r>
        <w:t xml:space="preserve">(B)</w:t>
      </w:r>
      <w:r xml:space="preserve">
        <w:t> </w:t>
      </w:r>
      <w:r xml:space="preserve">
        <w:t> </w:t>
      </w:r>
      <w:r>
        <w:t xml:space="preserve">the amount by which taxes imposed for debt are to be increased because of the taxing unit's anticipated collection rate; and</w:t>
      </w:r>
    </w:p>
    <w:p w:rsidR="003F3435" w:rsidRDefault="0032493E">
      <w:pPr>
        <w:spacing w:line="480" w:lineRule="auto"/>
        <w:ind w:firstLine="2160"/>
        <w:jc w:val="both"/>
      </w:pPr>
      <w:r>
        <w:t xml:space="preserve">(C)</w:t>
      </w:r>
      <w:r xml:space="preserve">
        <w:t> </w:t>
      </w:r>
      <w:r xml:space="preserve">
        <w:t> </w:t>
      </w:r>
      <w:r>
        <w:t xml:space="preserve">the total of the amounts listed in Paragraphs (A)-(B), less any amount collected in excess of the previous year's anticipated collections certified as provided in Subsection (b).</w:t>
      </w:r>
    </w:p>
    <w:p w:rsidR="003F3435" w:rsidRDefault="0032493E">
      <w:pPr>
        <w:spacing w:line="480" w:lineRule="auto"/>
        <w:ind w:firstLine="720"/>
        <w:jc w:val="both"/>
      </w:pPr>
      <w:r>
        <w:t xml:space="preserve">(e-2)</w:t>
      </w:r>
      <w:r xml:space="preserve">
        <w:t> </w:t>
      </w:r>
      <w:r xml:space="preserve">
        <w:t> </w:t>
      </w:r>
      <w:r>
        <w:t xml:space="preserve">By </w:t>
      </w:r>
      <w:r>
        <w:rPr>
          <w:u w:val="single"/>
        </w:rPr>
        <w:t xml:space="preserve">July 22</w:t>
      </w:r>
      <w:r>
        <w:t xml:space="preserve"> [</w:t>
      </w:r>
      <w:r>
        <w:rPr>
          <w:strike/>
        </w:rPr>
        <w:t xml:space="preserve">August 7</w:t>
      </w:r>
      <w:r>
        <w:t xml:space="preserve">] or as soon thereafter as practicable, the chief appraiser of each appraisal district shall deliver by regular mail or e-mail to each owner of property located in the appraisal district a notice that the estimated amount of taxes to be imposed on the owner's property by each taxing unit in which the property is located may be found in the property tax database maintained by the appraisal district under Section 26.17.  The notice must include:</w:t>
      </w:r>
    </w:p>
    <w:p w:rsidR="003F3435" w:rsidRDefault="0032493E">
      <w:pPr>
        <w:spacing w:line="480" w:lineRule="auto"/>
        <w:ind w:firstLine="1440"/>
        <w:jc w:val="both"/>
      </w:pPr>
      <w:r>
        <w:t xml:space="preserve">(1)</w:t>
      </w:r>
      <w:r xml:space="preserve">
        <w:t> </w:t>
      </w:r>
      <w:r xml:space="preserve">
        <w:t> </w:t>
      </w:r>
      <w:r>
        <w:t xml:space="preserve">a statement directing the property owner to an Internet website from which the owner may access information related to the actions taken or proposed to be taken by each taxing unit in which the property is located that may affect the taxes imposed on the owner's property;</w:t>
      </w:r>
    </w:p>
    <w:p w:rsidR="003F3435" w:rsidRDefault="0032493E">
      <w:pPr>
        <w:spacing w:line="480" w:lineRule="auto"/>
        <w:ind w:firstLine="1440"/>
        <w:jc w:val="both"/>
      </w:pPr>
      <w:r>
        <w:t xml:space="preserve">(2)</w:t>
      </w:r>
      <w:r xml:space="preserve">
        <w:t> </w:t>
      </w:r>
      <w:r xml:space="preserve">
        <w:t> </w:t>
      </w:r>
      <w:r>
        <w:t xml:space="preserve">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and</w:t>
      </w:r>
    </w:p>
    <w:p w:rsidR="003F3435" w:rsidRDefault="0032493E">
      <w:pPr>
        <w:spacing w:line="480" w:lineRule="auto"/>
        <w:ind w:firstLine="1440"/>
        <w:jc w:val="both"/>
      </w:pPr>
      <w:r>
        <w:t xml:space="preserve">(3)</w:t>
      </w:r>
      <w:r xml:space="preserve">
        <w:t> </w:t>
      </w:r>
      <w:r xml:space="preserve">
        <w:t> </w:t>
      </w:r>
      <w:r>
        <w:t xml:space="preserve">the name, address, and telephone number of the county assessor-collector for the county in which the property is located or, if the county assessor-collector does not assess taxes for the county, the person who assesses taxes for the county under Section 6.24(b).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26.05(a), Tax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each taxing unit shall adopt a tax rate for the current tax year and shall notify the assessor for the taxing unit of the rate adopted.</w:t>
      </w:r>
      <w:r xml:space="preserve">
        <w:t> </w:t>
      </w:r>
      <w:r xml:space="preserve">
        <w:t> </w:t>
      </w:r>
      <w:r>
        <w:t xml:space="preserve">The governing body must adopt a tax rate before the later of September 30 or the 60th day after the date the certified appraisal roll is received by the taxing unit, except that the governing body must adopt a tax rate that exceeds the voter-approval tax rate </w:t>
      </w:r>
      <w:r>
        <w:rPr>
          <w:u w:val="single"/>
        </w:rPr>
        <w:t xml:space="preserve">before August 15</w:t>
      </w:r>
      <w:r>
        <w:t xml:space="preserve"> [</w:t>
      </w:r>
      <w:r>
        <w:rPr>
          <w:strike/>
        </w:rPr>
        <w:t xml:space="preserve">not later than the 71st day before the next uniform election date prescribed by Section 41.001, Election Code, that occurs in November of that year</w:t>
      </w:r>
      <w:r>
        <w:t xml:space="preserve">].  The tax rate consists of two components, each of which must be approved separately.  The components are:</w:t>
      </w:r>
    </w:p>
    <w:p w:rsidR="003F3435" w:rsidRDefault="0032493E">
      <w:pPr>
        <w:spacing w:line="480" w:lineRule="auto"/>
        <w:ind w:firstLine="1440"/>
        <w:jc w:val="both"/>
      </w:pPr>
      <w:r>
        <w:t xml:space="preserve">(1)</w:t>
      </w:r>
      <w:r xml:space="preserve">
        <w:t> </w:t>
      </w:r>
      <w:r xml:space="preserve">
        <w:t> </w:t>
      </w:r>
      <w:r>
        <w:t xml:space="preserve">for a taxing unit other than a school district, the rate that, if applied to the total taxable value, will impose the total amount described by Section 26.04(e)(3)(C), less any amount of additional sales and use tax revenue that will be used to pay debt service, or, for a school district, the rate calculated under Section 44.004(c)(5)(A)(ii)(b), Education Code; and</w:t>
      </w:r>
    </w:p>
    <w:p w:rsidR="003F3435" w:rsidRDefault="0032493E">
      <w:pPr>
        <w:spacing w:line="480" w:lineRule="auto"/>
        <w:ind w:firstLine="1440"/>
        <w:jc w:val="both"/>
      </w:pPr>
      <w:r>
        <w:t xml:space="preserve">(2)</w:t>
      </w:r>
      <w:r xml:space="preserve">
        <w:t> </w:t>
      </w:r>
      <w:r xml:space="preserve">
        <w:t> </w:t>
      </w:r>
      <w:r>
        <w:t xml:space="preserve">the rate that, if applied to the total taxable value, will impose the amount of taxes needed to fund maintenance and operation expenditures of the taxing unit for the next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26.08, Tax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the</w:t>
      </w:r>
      <w:r>
        <w:t xml:space="preserve"> [</w:t>
      </w:r>
      <w:r>
        <w:rPr>
          <w:strike/>
        </w:rPr>
        <w:t xml:space="preserve">The</w:t>
      </w:r>
      <w:r>
        <w:t xml:space="preserve">] governing body shall order that the election be held in the school district on the [</w:t>
      </w:r>
      <w:r>
        <w:rPr>
          <w:strike/>
        </w:rPr>
        <w:t xml:space="preserve">next</w:t>
      </w:r>
      <w:r>
        <w:t xml:space="preserve">] uniform election date prescribed by Section 41.001, Election Code, that occurs </w:t>
      </w:r>
      <w:r>
        <w:rPr>
          <w:u w:val="single"/>
        </w:rPr>
        <w:t xml:space="preserve">in November of the applicable tax year.  The order calling the election may not be issued later than August 15</w:t>
      </w:r>
      <w:r>
        <w:t xml:space="preserve"> [</w:t>
      </w:r>
      <w:r>
        <w:rPr>
          <w:strike/>
        </w:rPr>
        <w:t xml:space="preserve">after the date of the election order and that allows sufficient time to comply with the requirements of other law</w:t>
      </w:r>
      <w:r>
        <w:t xml:space="preserve">].  At the election, the ballots shall be prepared to permit voting for or against the proposition:  "Ratifying the ad valorem tax rate of ___ (insert adopted tax rate) in (name of school district) for the current year, a rate that will result in an increase of _____ (insert percentage increase in maintenance and operations tax revenue under the adopted tax rate as compared to maintenance and operations tax revenue in the preceding tax year) percent in maintenance and operations tax revenue for the district for the current year as compared to the preceding year, which is an additional $____ (insert dollar amount of increase in maintenance and operations tax revenue under the adopted tax rate as compared to maintenance and operations tax revenue in the preceding tax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41.0011(a), Election Code, an emergency election under Section 41.0011 of that code at which a proposition described by Subsection (b) of this section is submitted to the voters shall be held on any uniform election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41.12(a), Tax Code, is amended to read as follows:</w:t>
      </w:r>
    </w:p>
    <w:p w:rsidR="003F3435" w:rsidRDefault="0032493E">
      <w:pPr>
        <w:spacing w:line="480" w:lineRule="auto"/>
        <w:ind w:firstLine="720"/>
        <w:jc w:val="both"/>
      </w:pPr>
      <w:r>
        <w:t xml:space="preserve">(a)</w:t>
      </w:r>
      <w:r xml:space="preserve">
        <w:t> </w:t>
      </w:r>
      <w:r xml:space="preserve">
        <w:t> </w:t>
      </w:r>
      <w:r>
        <w:t xml:space="preserve">By July </w:t>
      </w:r>
      <w:r>
        <w:rPr>
          <w:u w:val="single"/>
        </w:rPr>
        <w:t xml:space="preserve">5</w:t>
      </w:r>
      <w:r>
        <w:t xml:space="preserve"> [</w:t>
      </w:r>
      <w:r>
        <w:rPr>
          <w:strike/>
        </w:rPr>
        <w:t xml:space="preserve">20</w:t>
      </w:r>
      <w:r>
        <w:t xml:space="preserve">], the appraisal review board shall:</w:t>
      </w:r>
    </w:p>
    <w:p w:rsidR="003F3435" w:rsidRDefault="0032493E">
      <w:pPr>
        <w:spacing w:line="480" w:lineRule="auto"/>
        <w:ind w:firstLine="1440"/>
        <w:jc w:val="both"/>
      </w:pPr>
      <w:r>
        <w:t xml:space="preserve">(1)</w:t>
      </w:r>
      <w:r xml:space="preserve">
        <w:t> </w:t>
      </w:r>
      <w:r xml:space="preserve">
        <w:t> </w:t>
      </w:r>
      <w:r>
        <w:t xml:space="preserve">hear and determine all or substantially all timely filed protests;</w:t>
      </w:r>
    </w:p>
    <w:p w:rsidR="003F3435" w:rsidRDefault="0032493E">
      <w:pPr>
        <w:spacing w:line="480" w:lineRule="auto"/>
        <w:ind w:firstLine="1440"/>
        <w:jc w:val="both"/>
      </w:pPr>
      <w:r>
        <w:t xml:space="preserve">(2)</w:t>
      </w:r>
      <w:r xml:space="preserve">
        <w:t> </w:t>
      </w:r>
      <w:r xml:space="preserve">
        <w:t> </w:t>
      </w:r>
      <w:r>
        <w:t xml:space="preserve">determine all timely filed challenges;</w:t>
      </w:r>
    </w:p>
    <w:p w:rsidR="003F3435" w:rsidRDefault="0032493E">
      <w:pPr>
        <w:spacing w:line="480" w:lineRule="auto"/>
        <w:ind w:firstLine="1440"/>
        <w:jc w:val="both"/>
      </w:pPr>
      <w:r>
        <w:t xml:space="preserve">(3)</w:t>
      </w:r>
      <w:r xml:space="preserve">
        <w:t> </w:t>
      </w:r>
      <w:r xml:space="preserve">
        <w:t> </w:t>
      </w:r>
      <w:r>
        <w:t xml:space="preserve">submit a list of its approved changes in the records to the chief appraiser; and</w:t>
      </w:r>
    </w:p>
    <w:p w:rsidR="003F3435" w:rsidRDefault="0032493E">
      <w:pPr>
        <w:spacing w:line="480" w:lineRule="auto"/>
        <w:ind w:firstLine="1440"/>
        <w:jc w:val="both"/>
      </w:pPr>
      <w:r>
        <w:t xml:space="preserve">(4)</w:t>
      </w:r>
      <w:r xml:space="preserve">
        <w:t> </w:t>
      </w:r>
      <w:r xml:space="preserve">
        <w:t> </w:t>
      </w:r>
      <w:r>
        <w:t xml:space="preserve">approve the records.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to the ad valorem tax rate of a taxing unit beginning with the 2022 tax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11.4391(a) and 22.23(a) and (b), Tax Code, as amended by this Act, apply only to ad valorem taxes imposed for a tax year beginning on or after January 1, 2022.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Not later than the 30th day after the date this section takes effect, the comptroller of public accounts shall mail a written notice to each appraisal district and the assessor for each taxing unit in this state of any change made by this Act to the deadline for complying with a requirement, duty, or function of an appraisal district or taxing unit.</w:t>
      </w:r>
    </w:p>
    <w:p w:rsidR="003F3435" w:rsidRDefault="0032493E">
      <w:pPr>
        <w:spacing w:line="480" w:lineRule="auto"/>
        <w:ind w:firstLine="720"/>
        <w:jc w:val="both"/>
      </w:pPr>
      <w:r>
        <w:t xml:space="preserve">(b)</w:t>
      </w:r>
      <w:r xml:space="preserve">
        <w:t> </w:t>
      </w:r>
      <w:r xml:space="preserve">
        <w:t> </w:t>
      </w:r>
      <w:r>
        <w:t xml:space="preserve">This section takes effect immediately if this Act receives a vote of two-thirds of all the members elected to each house, as provided by Section 39, Article III, Texas Constitution.  If this Act does not receive the vote necessary for immediate effect, this section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Except as otherwise provided by this Act, 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