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date for the authorization of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governor determines that an emergency warrants holding an election for the issuance of bonds before the November uniform election date, the election may be held on an earlier May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(a)  Except as provided by Section 41.0011(a-1), an election for the issuance of bonds shall be held on the November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supersedes a conflicting statute outside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