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1427</w:t>
      </w:r>
    </w:p>
    <w:p w:rsidR="003F3435" w:rsidRDefault="0032493E">
      <w:pPr>
        <w:ind w:firstLine="720"/>
        <w:jc w:val="both"/>
      </w:pPr>
      <w:r>
        <w:t xml:space="preserve">(Shine)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 means physical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property" means property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consists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tangible personal property used for the production of income;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improvement to real property;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located in an area declared by the governor to be a disaster area following a disaster;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at least 15 percent damaged by the disaster, as determined by the chief appraiser under this section; and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for property described by </w:t>
      </w:r>
      <w:r>
        <w:rPr>
          <w:u w:val="single"/>
        </w:rPr>
        <w:t xml:space="preserve">Paragraph (A)(i)</w:t>
      </w:r>
      <w:r>
        <w:t xml:space="preserve"> [</w:t>
      </w:r>
      <w:r>
        <w:rPr>
          <w:strike/>
        </w:rPr>
        <w:t xml:space="preserve">Subdivision (1)(A)</w:t>
      </w:r>
      <w:r>
        <w:t xml:space="preserve">],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which, for qualified property described by Subsection </w:t>
      </w:r>
      <w:r>
        <w:rPr>
          <w:u w:val="single"/>
        </w:rPr>
        <w:t xml:space="preserve">(a)(2)(A)(ii) or (iii)</w:t>
      </w:r>
      <w:r>
        <w:t xml:space="preserve"> [</w:t>
      </w:r>
      <w:r>
        <w:rPr>
          <w:strike/>
        </w:rPr>
        <w:t xml:space="preserve">(a)(1)(B) or (C)</w:t>
      </w:r>
      <w:r>
        <w:t xml:space="preserve">],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which, for qualified property described by Subsection </w:t>
      </w:r>
      <w:r>
        <w:rPr>
          <w:u w:val="single"/>
        </w:rPr>
        <w:t xml:space="preserve">(a)(2)(A)(ii) or (iii)</w:t>
      </w:r>
      <w:r>
        <w:t xml:space="preserve"> [</w:t>
      </w:r>
      <w:r>
        <w:rPr>
          <w:strike/>
        </w:rPr>
        <w:t xml:space="preserve">(a)(1)(B) or (C)</w:t>
      </w:r>
      <w:r>
        <w:t xml:space="preserve">],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