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the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 means physical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property" means property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consists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tangible personal property used for the production of income;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improvement to real property;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located in an area declared by the governor to be a disaster area following a disaster;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at least 15 percent damaged by the disaster, as determined by the chief appraiser under this section; and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for property described by </w:t>
      </w:r>
      <w:r>
        <w:rPr>
          <w:u w:val="single"/>
        </w:rPr>
        <w:t xml:space="preserve">Paragraph (A)(i)</w:t>
      </w:r>
      <w:r>
        <w:t xml:space="preserve"> [</w:t>
      </w:r>
      <w:r>
        <w:rPr>
          <w:strike/>
        </w:rPr>
        <w:t xml:space="preserve">Subdivision (1)(A)</w:t>
      </w:r>
      <w:r>
        <w:t xml:space="preserve">],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t xml:space="preserve">(g)</w:t>
      </w:r>
      <w:r xml:space="preserve">
        <w:t> </w:t>
      </w:r>
      <w:r xml:space="preserve">
        <w:t> </w:t>
      </w:r>
      <w:r>
        <w:t xml:space="preserve">The chief appraiser shall assign to an item of qualified property:</w:t>
      </w:r>
    </w:p>
    <w:p w:rsidR="003F3435" w:rsidRDefault="0032493E">
      <w:pPr>
        <w:spacing w:line="480" w:lineRule="auto"/>
        <w:ind w:firstLine="1440"/>
        <w:jc w:val="both"/>
      </w:pPr>
      <w:r>
        <w:t xml:space="preserve">(1)</w:t>
      </w:r>
      <w:r xml:space="preserve">
        <w:t> </w:t>
      </w:r>
      <w:r xml:space="preserve">
        <w:t> </w:t>
      </w:r>
      <w: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t xml:space="preserve">(2)</w:t>
      </w:r>
      <w:r xml:space="preserve">
        <w:t> </w:t>
      </w:r>
      <w:r xml:space="preserve">
        <w:t> </w:t>
      </w:r>
      <w:r>
        <w:t xml:space="preserve">a Level II damage assessment rating if the property is at least 30 percent, but less than 60 percent, damaged, which, for qualified property described by Subsection </w:t>
      </w:r>
      <w:r>
        <w:rPr>
          <w:u w:val="single"/>
        </w:rPr>
        <w:t xml:space="preserve">(a)(2)(A)(ii) or (iii)</w:t>
      </w:r>
      <w:r>
        <w:t xml:space="preserve"> [</w:t>
      </w:r>
      <w:r>
        <w:rPr>
          <w:strike/>
        </w:rPr>
        <w:t xml:space="preserve">(a)(1)(B) or (C)</w:t>
      </w:r>
      <w:r>
        <w:t xml:space="preserve">],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t xml:space="preserve">(3)</w:t>
      </w:r>
      <w:r xml:space="preserve">
        <w:t> </w:t>
      </w:r>
      <w:r xml:space="preserve">
        <w:t> </w:t>
      </w:r>
      <w:r>
        <w:t xml:space="preserve">a Level III damage assessment rating if the property is at least 60 percent damaged but is not a total loss, which, for qualified property described by Subsection </w:t>
      </w:r>
      <w:r>
        <w:rPr>
          <w:u w:val="single"/>
        </w:rPr>
        <w:t xml:space="preserve">(a)(2)(A)(ii) or (iii)</w:t>
      </w:r>
      <w:r>
        <w:t xml:space="preserve"> [</w:t>
      </w:r>
      <w:r>
        <w:rPr>
          <w:strike/>
        </w:rPr>
        <w:t xml:space="preserve">(a)(1)(B) or (C)</w:t>
      </w:r>
      <w:r>
        <w:t xml:space="preserve">],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t xml:space="preserve">(4)</w:t>
      </w:r>
      <w:r xml:space="preserve">
        <w:t> </w:t>
      </w:r>
      <w:r xml:space="preserve">
        <w:t> </w:t>
      </w:r>
      <w:r>
        <w:t xml:space="preserve">a Level IV damage assessment rating if the property is a total loss, meaning that repair of the property is not feasible.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