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87R3144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alternate provisions for ad valorem tax rate notices when the de minimis rate of a taxing unit exceeds the voter-approval tax 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26.063, Tax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applies only to a taxing unit that is not required to hold an election under Section 26.07 and for which the qualified voters of the taxing unit may not petition to hold an election under Section 26.075.  In the notice required to be provided by the taxing unit under Section 26.06(b-1) or (b-3), as applicable, the taxing unit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 the following to the end of the list of rates included in the notice:</w:t>
      </w:r>
    </w:p>
    <w:p w:rsidR="003F3435" w:rsidRDefault="0032493E">
      <w:pPr>
        <w:spacing w:line="480" w:lineRule="auto"/>
        <w:ind w:firstLine="720"/>
        <w:jc w:val="both"/>
      </w:pPr>
      <w:r>
        <w:rPr>
          <w:u w:val="single"/>
        </w:rPr>
        <w:t xml:space="preserve">"DE MINIMIS RATE</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rPr>
          <w:u w:val="single"/>
        </w:rPr>
        <w:t xml:space="preserve">$_______________ per $100";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substitute the following for the definition of "voter-approval tax rate": "The voter-approval tax rate is the highest tax rate that (name of taxing unit) may adopt without holding an election to seek voter approval of the rate, unless the de minimis rate for (name of taxing unit) exceeds the voter-approval tax rate for (name of taxing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 the following definition of "de minimis rate": "The de minimis rate is the rate equal to the sum of the no-new-revenue maintenance and operations rate for (name of taxing unit), the rate that will raise $500,000, and the current debt rate for (name of taxing unit).";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substitute the following for the provision that provides notice that an election is required: "The proposed tax rate is greater than the voter-approval tax rate but not greater than the de minimis rate and does not exceed the rate that allows voters to petition for an election under Section 26.075, Tax Code.  If (name of taxing unit) adopts the proposed tax rate, (name of taxing unit) is not required to hold an election so that the voters may accept or reject the proposed tax rate and the qualified voters of the (name of taxing unit) may not petition the (name of taxing unit) to require an election to be held to determine whether to reduce the proposed tax 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tax rate notice that is provided by a taxing unit on or after the effective date of this Act.  A tax rate notice that is provided by a taxing unit before the effective date of this Act is governed by the law in effect on the date the notice is provided,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