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87R7671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petitions requesting an election and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proposition must substantially submit the question with such definiteness, certainty, and facial neutrality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certainty, and facial neutrality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inaccurate, or prejudicial.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inaccurate, or prejudicial,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inaccurate, or prejudicial,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  In an action in a court of competent jurisdiction seeking a writ of mandamus to compel the city's governing body to comply with the requirement that a ballot proposition must substantially submit the question with such definiteness, certainty, and facial neutrality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certainty, and facial neutrality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277, Election Code, is amended by designating Sections 277.001, 277.002, 277.0021, 277.0022, 277.0023, 277.0024, and 277.003 as Subchapter A and adding a subchapter heading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  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2022,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