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1443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restoring electric service to certain vulnerable customers after a power outage and customer communication.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38.0725.</w:t>
      </w:r>
      <w:r>
        <w:rPr>
          <w:u w:val="single"/>
        </w:rPr>
        <w:t xml:space="preserve"> </w:t>
      </w:r>
      <w:r>
        <w:rPr>
          <w:u w:val="single"/>
        </w:rPr>
        <w:t xml:space="preserve"> </w:t>
      </w:r>
      <w:r>
        <w:rPr>
          <w:u w:val="single"/>
        </w:rPr>
        <w:t xml:space="preserve">PRIORITIES FOR POWER RESTORATION TO VULNERABLE CUSTOMERS AND COMMUNICATION TO CUSTOMERS.  (a) In this section, "vulnerable customer" means a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qualifies for critical care or chronic condition status as defined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is dependent upon an electric-powered medical device to sustain life;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has a serious medical condition that requires an electric-powered medical device or electric heating or cooling to prevent impairment of a major life function through a significant deterioration or exacerbation of the person's medical condition;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who is the parent, guardian, or managing conservator of a child who qualifies for critical care or chronic condition status as defined by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who is the parent, guardian, or managing conservator of a child who is dependent upon an electric-powered medical device to sustain life;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who is the parent, guardian or managing conservator of a child that has a serious medical condition that requires an electric-powered medical device or electric heating or cooling to prevent impairment of a major life function through a significant deterioration or exacerbation of the person's medical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retail electric provider and electric cooperative that sells electricity to a customer to implement a registration process by which a new customer of that retail electric provider or electric cooperative may report to that retail electric provider or electric cooperative that the customer is a vulnerable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electric provider or electric cooperative that sells electricity to a customer shall maintain customer information reported under this section to allow that retail electric provider or electric cooperative to quickly identify vulnerable customers during a power outage and notify the relevant transmission and distribution utilities to prioritize those customers for power restoration.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each retail electric provider and electric cooperative that sells electricity to a customer that chooses to implement a mass alert system to communicate to individual customers of potential emergency situations and power outages shall notify each of their customers of the existence of such mass alert system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customer initially signs up to become a customer of the retail electric provider or electric cooperative;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time the retail electric provider or electric cooperative bills the customer.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Public Utility Commission of Texas shall adopt the rules required by Section 38.0725, Utilities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