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1446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ENTITLED TO BE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collection of delinquent property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6.30(c),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governing body of a taxing unit may contract with any competent attorney to represent the </w:t>
      </w:r>
      <w:r>
        <w:rPr>
          <w:u w:val="single"/>
        </w:rPr>
        <w:t xml:space="preserve">taxing</w:t>
      </w:r>
      <w:r>
        <w:t xml:space="preserve"> unit to enforce the collection of delinquent taxes.  The attorney's compensation is set in the contract, but the total amount of compensation provided may not exceed 15 [</w:t>
      </w:r>
      <w:r>
        <w:rPr>
          <w:strike/>
        </w:rPr>
        <w:t xml:space="preserve">20</w:t>
      </w:r>
      <w:r>
        <w:t xml:space="preserve">] percent of the amount of delinquent tax, penalty, and interest collected.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