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Business &amp; Commerce;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"closing"</w:t>
      </w:r>
      <w:r>
        <w:t xml:space="preserve"> </w:t>
      </w:r>
      <w:r>
        <w:t xml:space="preserve">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for a qualified residential rental project bond,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