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87R8087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 specialists for and the provision of peer services to individuals with an intellectual or developmental disability, including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531.09995.</w:t>
      </w:r>
      <w:r>
        <w:rPr>
          <w:u w:val="single"/>
        </w:rPr>
        <w:t xml:space="preserve"> </w:t>
      </w:r>
      <w:r>
        <w:rPr>
          <w:u w:val="single"/>
        </w:rPr>
        <w:t xml:space="preserve"> </w:t>
      </w:r>
      <w:r>
        <w:rPr>
          <w:u w:val="single"/>
        </w:rPr>
        <w:t xml:space="preserve">PEER SPECIALISTS AND PEER SERVICES FOR INDIVIDUALS WITH AN INTELLECTUAL OR DEVELOPMENTAL DISABILITY. </w:t>
      </w:r>
      <w:r>
        <w:rPr>
          <w:u w:val="single"/>
        </w:rPr>
        <w:t xml:space="preserve"> </w:t>
      </w:r>
      <w:r>
        <w:rPr>
          <w:u w:val="single"/>
        </w:rPr>
        <w:t xml:space="preserve">(a) </w:t>
      </w:r>
      <w:r>
        <w:rPr>
          <w:u w:val="single"/>
        </w:rPr>
        <w:t xml:space="preserve"> </w:t>
      </w:r>
      <w:r>
        <w:rPr>
          <w:u w:val="single"/>
        </w:rPr>
        <w:t xml:space="preserve">With input from intellectual and developmental disability peer specialists and the work group described by Subsection (b), the commission shall develop and the executive commissioner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peer specialists so that they are able to provide services to individuals with an intellectual or developmental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intellectual and developmental disability peer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intellectual and developmental disability peer specialists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peer services for individuals with an intellectual or developmental disability from other services that a person must hold a license to provide;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rules necessary to protect the health and safety of individuals receiving peer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stakeholder work group to provide input for the adoption of rules under Subsection (a).  The work group is composed of the following stakeholders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each organization that certifies intellectual and developmental disability peer specialists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representatives of organizations that employ intellectual and developmental disability peer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intellectual and developmental disability peer specialist who works in an urban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intellectual and developmental disability peer specialist who works in a rural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individual who trains intellectual and developmental disability peer specialists;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three representatives of licensed health care professional groups who supervise intellectual and developmental disability peer specialists;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 more than three individuals with personal experience living with an intellectual or developmental disability;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individuals considered appropriate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once every month.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intellectual and developmental disability peer specialist who seeks Medicaid reimbursement for peer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peer services to an individual with an intellectual or developmental disability who resides in a state supported living center unless a guardian of the individual is present at the time the services are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or advocate for an individual with an intellectual or developmental disability who resides in a state supported living center to leave or move out of the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32.024(kk), Human Resources Code, as added by Chapter 1015 (H.B. 1486), Acts of the 85th Legislature, Regular Session, 2017, is reenacted and amended to read as follows:</w:t>
      </w:r>
    </w:p>
    <w:p w:rsidR="003F3435" w:rsidRDefault="0032493E">
      <w:pPr>
        <w:spacing w:line="480" w:lineRule="auto"/>
        <w:ind w:firstLine="720"/>
        <w:jc w:val="both"/>
      </w:pPr>
      <w:r>
        <w:t xml:space="preserve">(kk)</w:t>
      </w:r>
      <w:r xml:space="preserve">
        <w:t> </w:t>
      </w:r>
      <w:r xml:space="preserve">
        <w:t> </w:t>
      </w:r>
      <w:r>
        <w:t xml:space="preserve">The commission in its rules and standards governing the scope of services provided under the medical assistance program shall include peer services provided by certified peer specialists</w:t>
      </w:r>
      <w:r>
        <w:rPr>
          <w:u w:val="single"/>
        </w:rPr>
        <w:t xml:space="preserve">, including peer services provided to individuals with an intellectual or developmental disability,</w:t>
      </w:r>
      <w:r>
        <w:t xml:space="preserve"> to the extent permitted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adopt the rules required by Section 531.09995(a), Government Code, as added by this Act; and</w:t>
      </w:r>
    </w:p>
    <w:p w:rsidR="003F3435" w:rsidRDefault="0032493E">
      <w:pPr>
        <w:spacing w:line="480" w:lineRule="auto"/>
        <w:ind w:firstLine="1440"/>
        <w:jc w:val="both"/>
      </w:pPr>
      <w:r>
        <w:t xml:space="preserve">(2)</w:t>
      </w:r>
      <w:r xml:space="preserve">
        <w:t> </w:t>
      </w:r>
      <w:r xml:space="preserve">
        <w:t> </w:t>
      </w:r>
      <w:r>
        <w:t xml:space="preserve">appoint the members of the stakeholder work group established by Section 531.09995(b),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