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</w:p>
    <w:p w:rsidR="003F3435" w:rsidRDefault="0032493E">
      <w:pPr>
        <w:spacing w:line="480" w:lineRule="auto"/>
        <w:jc w:val="both"/>
      </w:pPr>
      <w:r>
        <w:t xml:space="preserve">relating tothe appointment of counsel to represent indigent defendants.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 </w:t>
      </w:r>
      <w:r>
        <w:t xml:space="preserve">Chapter79,Government Code, is amended by addingSection79.044to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Thissection applies only to a county with a population of more than 3.3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court appointments in criminal cases received by an attorney is not to exceed theguidelines contained in caseload studies published by the commissionpursuant to House Bill 1318, 83</w:t>
      </w:r>
      <w:r>
        <w:rPr>
          <w:u w:val="single"/>
        </w:rPr>
        <w:t xml:space="preserve">rd</w:t>
      </w:r>
      <w:r>
        <w:rPr>
          <w:u w:val="single"/>
        </w:rPr>
        <w:t xml:space="preserve">Texas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information provided under Section 79.036(a-1) shows that the number of appointments made to an attorney accepting appointments in the county exceeds caseload guidelines, the county may </w:t>
      </w:r>
      <w:r>
        <w:rPr>
          <w:u w:val="single"/>
        </w:rPr>
        <w:t xml:space="preserve"> </w:t>
      </w:r>
      <w:r>
        <w:rPr>
          <w:u w:val="single"/>
        </w:rPr>
        <w:t xml:space="preserve">withhold </w:t>
      </w:r>
      <w:r>
        <w:rPr>
          <w:u w:val="single"/>
        </w:rPr>
        <w:t xml:space="preserve"> </w:t>
      </w:r>
      <w:r>
        <w:rPr>
          <w:u w:val="single"/>
        </w:rPr>
        <w:t xml:space="preserve">payment  to  that  attorney  for those cases that exceed the caseload guidelines.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