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determine whether a multiple employer welfare arrangement is considered a large employer, participating employees are counted in the aggregate at the level of the multiple employer welfare arrangement.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both as an employer and as an employee of the trade or industry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2022. </w:t>
      </w:r>
      <w:r>
        <w:t xml:space="preserve"> </w:t>
      </w:r>
      <w:r>
        <w:t xml:space="preserve">An application submitted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