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admission by a party of a material and substantial change of circumstances in a motion to modify an order in certain family law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8.057,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party who files a motion to modify maintenance based on a material and substantial change of circumstances may not be considered on that basis alone to have admitted a material and substantial change of circumstances regarding any other matter.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156, Family Code, is amended by adding Section 156.007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156.007.</w:t>
      </w:r>
      <w:r>
        <w:rPr>
          <w:u w:val="single"/>
        </w:rPr>
        <w:t xml:space="preserve"> </w:t>
      </w:r>
      <w:r>
        <w:rPr>
          <w:u w:val="single"/>
        </w:rPr>
        <w:t xml:space="preserve"> </w:t>
      </w:r>
      <w:r>
        <w:rPr>
          <w:u w:val="single"/>
        </w:rPr>
        <w:t xml:space="preserve">CERTAIN FILINGS NOT ADMISSIONS.  A party who files a motion to modify an order that provides for the appointment of a conservator of a child, provides the terms and conditions of conservatorship, provides for the possession of or access to a child, or provides for the support of a child based on a material and substantial change of circumstances may not be considered on that basis alone to have admitted a material and substantial change of circumstances regarding any other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motion to modify that is filed on or after the effective date of this Act. A motion to modify filed before that date is governed by the law in effect on the date the motion was filed,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