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87R12232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1479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distributed energy resources in the ERCOT market.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39, Utilities Code, is amended by adding Section 39.9165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39.9165.</w:t>
      </w:r>
      <w:r>
        <w:rPr>
          <w:u w:val="single"/>
        </w:rPr>
        <w:t xml:space="preserve"> </w:t>
      </w:r>
      <w:r>
        <w:rPr>
          <w:u w:val="single"/>
        </w:rPr>
        <w:t xml:space="preserve"> </w:t>
      </w:r>
      <w:r>
        <w:rPr>
          <w:u w:val="single"/>
        </w:rPr>
        <w:t xml:space="preserve">PARTICIPATION OF DISTRIBUTED ENERGY RESOURCES IN THE MARKET.  (a) </w:t>
      </w:r>
      <w:r>
        <w:rPr>
          <w:u w:val="single"/>
        </w:rPr>
        <w:t xml:space="preserve"> </w:t>
      </w:r>
      <w:r>
        <w:rPr>
          <w:u w:val="single"/>
        </w:rPr>
        <w:t xml:space="preserve">In this section, "distributed energy resource" means a generation resource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generation, storage, or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interconnected at or below 60 kilovolts;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operates in parallel with the distribution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allow a person who owns or operates a distributed energy resource with an installed capacity of 10 megawatts or less to participate in the ancillary and wholesale energy market in the ERCOT power region.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allowing for the participation of a person who owns or operates a distributed energy resource to participate under Subsection (b), the commission shall adopt interconnection, registration, qualification, telemetry, data submission, and compliance requirements that are less rigorous than requirements for a generation resource that is not a distributed energy resource.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allow a person to aggregate distributed energy resources that are geographically linked to an electric bus or node for participation as an aggregated resource in the ancillary and wholesale energy market in the ERCOT power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Public Utility Commission of Texas shall adopt the rules required by Section 39.9165, Utilities Code, as added by this Act, not later than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