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87R4572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submission of requests for attorney general decisions under the public information law;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552, Government Code, is amended by adding Section 552.3031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552.3031.</w:t>
      </w:r>
      <w:r>
        <w:rPr>
          <w:u w:val="single"/>
        </w:rPr>
        <w:t xml:space="preserve"> </w:t>
      </w:r>
      <w:r>
        <w:rPr>
          <w:u w:val="single"/>
        </w:rPr>
        <w:t xml:space="preserve"> </w:t>
      </w:r>
      <w:r>
        <w:rPr>
          <w:u w:val="single"/>
        </w:rPr>
        <w:t xml:space="preserve">ELECTRONIC SUBMISSION OF REQUEST FOR ATTORNEY GENERAL DECISION.  (a)  This section does not apply to a request for an attorney general decision made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governmental body requesting the decision: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fewer than 16 full-time employees;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with a population of less than 250,000;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or format of responsive information at issue in a particular request makes use of the attorney general's electronic filing system impractical or impossible.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that requests an attorney general decision under this subchapter must submit the request through the attorney general's designated electronic filing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charge a fee for a request described by Subsection (a)(2) that is submitted in a manner other than the manner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adopt rules necessary to implement this section, including rules that define the amount or type of formatting of information described by Subsection (a)(2) that makes use of the electronic filing system impractical or impossible.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552.308, Government Code, is amended to read as follows:</w:t>
      </w:r>
    </w:p>
    <w:p w:rsidR="003F3435" w:rsidRDefault="0032493E">
      <w:pPr>
        <w:spacing w:line="480" w:lineRule="auto"/>
        <w:ind w:firstLine="720"/>
        <w:jc w:val="both"/>
      </w:pPr>
      <w:r>
        <w:t xml:space="preserve">Sec.</w:t>
      </w:r>
      <w:r xml:space="preserve">
        <w:t> </w:t>
      </w:r>
      <w:r>
        <w:t xml:space="preserve">552.308.</w:t>
      </w:r>
      <w:r xml:space="preserve">
        <w:t> </w:t>
      </w:r>
      <w:r xml:space="preserve">
        <w:t> </w:t>
      </w:r>
      <w:r>
        <w:t xml:space="preserve">TIMELINESS OF ACTION BY UNITED STATES MAIL, INTERAGENCY MAIL, OR COMMON OR CONTRACT CARRIER.  (a)  </w:t>
      </w:r>
      <w:r>
        <w:rPr>
          <w:u w:val="single"/>
        </w:rPr>
        <w:t xml:space="preserve">Except as provided by Section 552.3031, when</w:t>
      </w:r>
      <w:r>
        <w:t xml:space="preserve"> [</w:t>
      </w:r>
      <w:r>
        <w:rPr>
          <w:strike/>
        </w:rPr>
        <w:t xml:space="preserve">When</w:t>
      </w:r>
      <w:r>
        <w:t xml:space="preserve">] this subchapter requires a request, notice, or other document to be submitted or otherwise given to a person within a specified period, the requirement is met in a timely fashion if the document is sent to the person by first class United States mail or common or contract carrier properly addressed with postage or handling charges prepaid and:</w:t>
      </w:r>
    </w:p>
    <w:p w:rsidR="003F3435" w:rsidRDefault="0032493E">
      <w:pPr>
        <w:spacing w:line="480" w:lineRule="auto"/>
        <w:ind w:firstLine="1440"/>
        <w:jc w:val="both"/>
      </w:pPr>
      <w:r>
        <w:t xml:space="preserve">(1)</w:t>
      </w:r>
      <w:r xml:space="preserve">
        <w:t> </w:t>
      </w:r>
      <w:r xml:space="preserve">
        <w:t> </w:t>
      </w:r>
      <w:r>
        <w:t xml:space="preserve">it bears a post office cancellation mark or a receipt mark of a common or contract carrier indicating a time within that period; or</w:t>
      </w:r>
    </w:p>
    <w:p w:rsidR="003F3435" w:rsidRDefault="0032493E">
      <w:pPr>
        <w:spacing w:line="480" w:lineRule="auto"/>
        <w:ind w:firstLine="1440"/>
        <w:jc w:val="both"/>
      </w:pPr>
      <w:r>
        <w:t xml:space="preserve">(2)</w:t>
      </w:r>
      <w:r xml:space="preserve">
        <w:t> </w:t>
      </w:r>
      <w:r xml:space="preserve">
        <w:t> </w:t>
      </w:r>
      <w:r>
        <w:t xml:space="preserve">the person required to submit or otherwise give the document furnishes satisfactory proof that it was deposited in the mail or with a common or contract carrier within that period.</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552.3031, when</w:t>
      </w:r>
      <w:r>
        <w:t xml:space="preserve"> [</w:t>
      </w:r>
      <w:r>
        <w:rPr>
          <w:strike/>
        </w:rPr>
        <w:t xml:space="preserve">When</w:t>
      </w:r>
      <w:r>
        <w:t xml:space="preserve">] this subchapter requires an agency of this state to submit or otherwise give to the attorney general within a specified period a request, notice, or other writing, the requirement is met in a timely fashion if:</w:t>
      </w:r>
    </w:p>
    <w:p w:rsidR="003F3435" w:rsidRDefault="0032493E">
      <w:pPr>
        <w:spacing w:line="480" w:lineRule="auto"/>
        <w:ind w:firstLine="1440"/>
        <w:jc w:val="both"/>
      </w:pPr>
      <w:r>
        <w:t xml:space="preserve">(1)</w:t>
      </w:r>
      <w:r xml:space="preserve">
        <w:t> </w:t>
      </w:r>
      <w:r xml:space="preserve">
        <w:t> </w:t>
      </w:r>
      <w:r>
        <w:t xml:space="preserve">the request, notice, or other writing is sent to the attorney general by interagency mail; and</w:t>
      </w:r>
    </w:p>
    <w:p w:rsidR="003F3435" w:rsidRDefault="0032493E">
      <w:pPr>
        <w:spacing w:line="480" w:lineRule="auto"/>
        <w:ind w:firstLine="1440"/>
        <w:jc w:val="both"/>
      </w:pPr>
      <w:r>
        <w:t xml:space="preserve">(2)</w:t>
      </w:r>
      <w:r xml:space="preserve">
        <w:t> </w:t>
      </w:r>
      <w:r xml:space="preserve">
        <w:t> </w:t>
      </w:r>
      <w:r>
        <w:t xml:space="preserve">the agency provides evidence sufficient to establish that the request, notice, or other writing was deposited in the interagency mail within that period.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request for public information received by a governmental body or officer for public information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