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87R12046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removal of certain intimate visual material by a search engine operator of an Internet website;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REMOVAL OF CERTAIN INTIMATE VISUAL MATERIAL BY SEARCH ENGINE OPERATOR OF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"Intimate parts," "sexual conduct," and "visual material" have the meanings assigned by Section 21.16,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"Intimate visual material" means visual material depicting a person with the person's intimate parts exposed, engaged in sexual conduct, or otherwise in an intimate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"Search engine operator" means an operator of an Internet website that functions primarily as a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REMOVAL OF CERTAIN INTIMATE VISUAL MATERIAL.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intimate visual material that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obtained by a person or created under circumstances in which the person depicted in the visual material had a reasonable expectation that the visual material would remain private;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posted on an Internet website or otherwise made publicly available without the consent of the person depicted in the visual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intimate visual material that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created without the consent of the person depicted in the visual material;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posted on an Internet website or otherwise made publicly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search engine operator that has agreed to remove a person's intimate visual material described by Subsection (a) from the Internet website must monitor the website and use established methods to automatically remove any subsequent instance of the intimate visual material that has been reposted to the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CIVIL PENALTY; INJUNCTION.  (a)  A search engine operator that violates Section 113.002 is liable to this state for a civil penalty in an amount not to exceed $500 for each day the search engine operator violates Section 113.002.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an appropriate local prosecuting attorney may bring an action to collect a civil penalty imposed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brings an action under Subsection (b) and prevails, the civil penalty shall be deposited in the state treasury to the credit of the general revenue fund.  If a local prosecuting attorney brings the action and prevails, the civil penalty shall be deposited in the general fund of the appropriate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bring an action in the name of this state to enjoin a violation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is entitled to recover reasonable expenses incurred in bringing an action under this section, including reasonable attorney's fees and court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113, Business &amp; Commerce Code, as added by this Act, applies to any intimate visual material that a search engine operator has agreed to remove from its Internet website, regardless of whether the search engine operator agreed to the removal of the intimate visual material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