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87R11852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municipal disannexation of certain areas formerly designated as a census designated place.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43, Local Government Code, is amended by adding Section 43.149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43.149.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DISANNEXATION OF CERTAIN ANNEXED AREAS FORMERLY DESIGNATED AS CENSUS DESIGNATED PLACE.  (a) This section applies only to an annexed area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contains: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access point to a greenbelt;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1,200 single-family homes;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separated from two municipalities other than the municipality in which the area is located only by a highway;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annexation: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part of a single census designated place;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served by a municipal utility district that owned a water treatment and storage facility.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shall disannex an area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water treatment and storage facility described by Subsection (a)(3) was transferred to the municipality during annexation, the municipality shall retain ownership of the facility after disannexation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